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6D93">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A66D93">
      <w:pPr>
        <w:wordWrap w:val="0"/>
        <w:jc w:val="right"/>
        <w:rPr>
          <w:rFonts w:eastAsia="楷体_GB2312" w:hint="eastAsia"/>
          <w:b/>
          <w:bCs/>
          <w:sz w:val="30"/>
        </w:rPr>
      </w:pPr>
      <w:r>
        <w:rPr>
          <w:rFonts w:eastAsia="楷体_GB2312"/>
          <w:b/>
          <w:bCs/>
          <w:sz w:val="30"/>
        </w:rPr>
        <w:t xml:space="preserve">   </w:t>
      </w:r>
      <w:r>
        <w:rPr>
          <w:rStyle w:val="font21"/>
          <w:b/>
          <w:bCs/>
          <w:szCs w:val="30"/>
        </w:rPr>
        <w:t>12152524MB1F5977X2</w:t>
      </w:r>
      <w:r>
        <w:rPr>
          <w:rFonts w:eastAsia="楷体_GB2312"/>
          <w:b/>
          <w:bCs/>
          <w:sz w:val="30"/>
        </w:rPr>
        <w:t xml:space="preserve">   </w:t>
      </w:r>
    </w:p>
    <w:p w:rsidR="00000000" w:rsidRDefault="00A66D93">
      <w:pPr>
        <w:jc w:val="right"/>
      </w:pPr>
    </w:p>
    <w:p w:rsidR="00000000" w:rsidRDefault="00A66D93">
      <w:pPr>
        <w:jc w:val="right"/>
      </w:pPr>
    </w:p>
    <w:p w:rsidR="00000000" w:rsidRDefault="00A66D93">
      <w:pPr>
        <w:jc w:val="right"/>
      </w:pPr>
    </w:p>
    <w:p w:rsidR="00000000" w:rsidRDefault="00A66D93">
      <w:pPr>
        <w:jc w:val="right"/>
      </w:pPr>
    </w:p>
    <w:p w:rsidR="00000000" w:rsidRDefault="00A66D93">
      <w:pPr>
        <w:jc w:val="right"/>
      </w:pPr>
    </w:p>
    <w:p w:rsidR="00000000" w:rsidRDefault="00A66D93">
      <w:pPr>
        <w:jc w:val="center"/>
        <w:rPr>
          <w:rFonts w:eastAsia="黑体"/>
          <w:b/>
          <w:bCs/>
          <w:spacing w:val="40"/>
          <w:sz w:val="52"/>
        </w:rPr>
      </w:pPr>
      <w:r>
        <w:rPr>
          <w:rFonts w:eastAsia="黑体" w:hAnsi="黑体" w:hint="eastAsia"/>
          <w:b/>
          <w:bCs/>
          <w:spacing w:val="40"/>
          <w:sz w:val="52"/>
        </w:rPr>
        <w:t>事业单位法人年度报告书</w:t>
      </w:r>
    </w:p>
    <w:p w:rsidR="00000000" w:rsidRDefault="00A66D93">
      <w:pPr>
        <w:jc w:val="center"/>
        <w:rPr>
          <w:rFonts w:eastAsia="黑体"/>
          <w:b/>
          <w:bCs/>
          <w:spacing w:val="30"/>
        </w:rPr>
      </w:pPr>
    </w:p>
    <w:p w:rsidR="00000000" w:rsidRDefault="00A66D93">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A66D93">
      <w:pPr>
        <w:jc w:val="center"/>
        <w:rPr>
          <w:sz w:val="36"/>
        </w:rPr>
      </w:pPr>
    </w:p>
    <w:p w:rsidR="00000000" w:rsidRDefault="00A66D93">
      <w:pPr>
        <w:jc w:val="center"/>
        <w:rPr>
          <w:sz w:val="36"/>
        </w:rPr>
      </w:pPr>
    </w:p>
    <w:p w:rsidR="00000000" w:rsidRDefault="00A66D93">
      <w:pPr>
        <w:jc w:val="center"/>
        <w:rPr>
          <w:sz w:val="36"/>
        </w:rPr>
      </w:pPr>
    </w:p>
    <w:p w:rsidR="00000000" w:rsidRDefault="00A66D93">
      <w:pPr>
        <w:jc w:val="center"/>
        <w:rPr>
          <w:sz w:val="36"/>
        </w:rPr>
      </w:pPr>
    </w:p>
    <w:p w:rsidR="00000000" w:rsidRDefault="00A66D93">
      <w:pPr>
        <w:jc w:val="center"/>
        <w:rPr>
          <w:sz w:val="36"/>
        </w:rPr>
      </w:pPr>
    </w:p>
    <w:p w:rsidR="00000000" w:rsidRDefault="00A66D93">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A66D93">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A66D93">
            <w:pPr>
              <w:jc w:val="center"/>
              <w:rPr>
                <w:rStyle w:val="font61"/>
                <w:rFonts w:ascii="楷体_GB2312"/>
              </w:rPr>
            </w:pPr>
            <w:r>
              <w:rPr>
                <w:rStyle w:val="font61"/>
                <w:rFonts w:ascii="楷体_GB2312" w:hint="eastAsia"/>
              </w:rPr>
              <w:t>苏尼特右旗生态环境综合行政执法大队</w:t>
            </w:r>
          </w:p>
        </w:tc>
      </w:tr>
    </w:tbl>
    <w:p w:rsidR="00000000" w:rsidRDefault="00A66D93">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A66D93">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A66D93">
            <w:pPr>
              <w:widowControl/>
              <w:jc w:val="left"/>
              <w:rPr>
                <w:kern w:val="0"/>
                <w:sz w:val="20"/>
                <w:szCs w:val="20"/>
              </w:rPr>
            </w:pPr>
          </w:p>
        </w:tc>
      </w:tr>
    </w:tbl>
    <w:p w:rsidR="00000000" w:rsidRDefault="00A66D93">
      <w:pPr>
        <w:ind w:firstLineChars="300" w:firstLine="723"/>
        <w:rPr>
          <w:rFonts w:ascii="黑体" w:eastAsia="黑体" w:hAnsi="黑体" w:hint="eastAsia"/>
          <w:b/>
          <w:bCs/>
          <w:sz w:val="24"/>
          <w:u w:val="single"/>
        </w:rPr>
      </w:pPr>
    </w:p>
    <w:p w:rsidR="00000000" w:rsidRDefault="00A66D93">
      <w:pPr>
        <w:jc w:val="center"/>
        <w:rPr>
          <w:rFonts w:ascii="黑体" w:eastAsia="黑体" w:hAnsi="黑体" w:hint="eastAsia"/>
          <w:b/>
          <w:bCs/>
          <w:sz w:val="30"/>
          <w:u w:val="single"/>
        </w:rPr>
      </w:pPr>
    </w:p>
    <w:p w:rsidR="00000000" w:rsidRDefault="00A66D93">
      <w:pPr>
        <w:jc w:val="center"/>
        <w:rPr>
          <w:rFonts w:ascii="黑体" w:eastAsia="黑体" w:hAnsi="黑体" w:hint="eastAsia"/>
          <w:b/>
          <w:bCs/>
          <w:sz w:val="30"/>
          <w:u w:val="single"/>
        </w:rPr>
      </w:pPr>
    </w:p>
    <w:p w:rsidR="00000000" w:rsidRDefault="00A66D93">
      <w:pPr>
        <w:jc w:val="center"/>
        <w:rPr>
          <w:rFonts w:hint="eastAsia"/>
          <w:u w:val="single"/>
        </w:rPr>
      </w:pPr>
    </w:p>
    <w:p w:rsidR="00000000" w:rsidRDefault="00A66D93">
      <w:pPr>
        <w:jc w:val="center"/>
        <w:rPr>
          <w:rFonts w:eastAsia="楷体_GB2312"/>
          <w:b/>
          <w:bCs/>
          <w:sz w:val="32"/>
        </w:rPr>
      </w:pPr>
      <w:r>
        <w:rPr>
          <w:rFonts w:eastAsia="楷体_GB2312" w:hint="eastAsia"/>
          <w:b/>
          <w:bCs/>
          <w:sz w:val="32"/>
        </w:rPr>
        <w:t>国家事业单位登记管理局制</w:t>
      </w:r>
    </w:p>
    <w:p w:rsidR="00000000" w:rsidRDefault="00A66D93">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lastRenderedPageBreak/>
              <w:t>《事业</w:t>
            </w:r>
          </w:p>
          <w:p w:rsidR="00000000" w:rsidRDefault="00A66D93">
            <w:pPr>
              <w:jc w:val="center"/>
              <w:rPr>
                <w:rFonts w:eastAsia="楷体_GB2312"/>
                <w:b/>
                <w:bCs/>
                <w:sz w:val="32"/>
              </w:rPr>
            </w:pPr>
            <w:r>
              <w:rPr>
                <w:rFonts w:eastAsia="楷体_GB2312" w:hint="eastAsia"/>
                <w:b/>
                <w:bCs/>
                <w:sz w:val="32"/>
              </w:rPr>
              <w:t>单位</w:t>
            </w:r>
          </w:p>
          <w:p w:rsidR="00000000" w:rsidRDefault="00A66D93">
            <w:pPr>
              <w:jc w:val="center"/>
              <w:rPr>
                <w:rFonts w:eastAsia="楷体_GB2312"/>
                <w:b/>
                <w:bCs/>
                <w:sz w:val="32"/>
              </w:rPr>
            </w:pPr>
            <w:r>
              <w:rPr>
                <w:rFonts w:eastAsia="楷体_GB2312" w:hint="eastAsia"/>
                <w:b/>
                <w:bCs/>
                <w:sz w:val="32"/>
              </w:rPr>
              <w:t>法人</w:t>
            </w:r>
          </w:p>
          <w:p w:rsidR="00000000" w:rsidRDefault="00A66D93">
            <w:pPr>
              <w:jc w:val="center"/>
              <w:rPr>
                <w:rFonts w:eastAsia="楷体_GB2312"/>
                <w:b/>
                <w:bCs/>
                <w:sz w:val="32"/>
              </w:rPr>
            </w:pPr>
            <w:r>
              <w:rPr>
                <w:rFonts w:eastAsia="楷体_GB2312" w:hint="eastAsia"/>
                <w:b/>
                <w:bCs/>
                <w:sz w:val="32"/>
              </w:rPr>
              <w:t>证书》</w:t>
            </w:r>
          </w:p>
          <w:p w:rsidR="00000000" w:rsidRDefault="00A66D93">
            <w:pPr>
              <w:jc w:val="center"/>
              <w:rPr>
                <w:rFonts w:eastAsia="楷体_GB2312"/>
                <w:b/>
                <w:bCs/>
                <w:sz w:val="32"/>
              </w:rPr>
            </w:pPr>
            <w:r>
              <w:rPr>
                <w:rFonts w:eastAsia="楷体_GB2312" w:hint="eastAsia"/>
                <w:b/>
                <w:bCs/>
                <w:sz w:val="32"/>
              </w:rPr>
              <w:t>登载</w:t>
            </w:r>
          </w:p>
          <w:p w:rsidR="00000000" w:rsidRDefault="00A66D93">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A66D93">
            <w:pPr>
              <w:spacing w:line="320" w:lineRule="exact"/>
              <w:jc w:val="left"/>
              <w:rPr>
                <w:rStyle w:val="font71"/>
                <w:rFonts w:ascii="楷体_GB2312"/>
                <w:szCs w:val="28"/>
              </w:rPr>
            </w:pPr>
            <w:r>
              <w:rPr>
                <w:rStyle w:val="font71"/>
                <w:rFonts w:ascii="楷体_GB2312" w:hint="eastAsia"/>
                <w:szCs w:val="28"/>
              </w:rPr>
              <w:t>苏尼特右旗生态环境综合行政执法大队</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宗旨和</w:t>
            </w:r>
          </w:p>
          <w:p w:rsidR="00000000" w:rsidRDefault="00A66D93">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A66D93">
            <w:pPr>
              <w:jc w:val="left"/>
              <w:rPr>
                <w:rStyle w:val="font71"/>
                <w:rFonts w:ascii="楷体_GB2312"/>
                <w:szCs w:val="28"/>
              </w:rPr>
            </w:pPr>
            <w:r>
              <w:rPr>
                <w:rStyle w:val="font71"/>
                <w:rFonts w:ascii="楷体_GB2312" w:hint="eastAsia"/>
                <w:szCs w:val="28"/>
              </w:rPr>
              <w:t>依法以锡林郭勒盟生态环境局苏尼特右旗分局的名义开展行政执法工作。落实有关生态环境保护方面的法律法规规章，依法统一行使污染防治、生态保护、核与辐射安全等方面的行政处罚以及与行政处罚相关的行政检查、行政强制措施、行政强制执行等执法职能；依法受理生态环境方面违法案件的投诉、举报。</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A66D93">
            <w:pPr>
              <w:jc w:val="left"/>
            </w:pPr>
            <w:r>
              <w:rPr>
                <w:rStyle w:val="font71"/>
                <w:rFonts w:ascii="楷体_GB2312" w:hint="eastAsia"/>
                <w:szCs w:val="28"/>
              </w:rPr>
              <w:t>锡林郭勒盟生态环境局苏尼特右旗分局办公楼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A66D93">
            <w:pPr>
              <w:jc w:val="left"/>
            </w:pPr>
            <w:r>
              <w:rPr>
                <w:rStyle w:val="font71"/>
                <w:rFonts w:ascii="楷体_GB2312" w:hint="eastAsia"/>
                <w:szCs w:val="28"/>
              </w:rPr>
              <w:t>雷城</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A66D93">
            <w:pPr>
              <w:jc w:val="left"/>
              <w:rPr>
                <w:rStyle w:val="font71"/>
                <w:rFonts w:ascii="楷体_GB2312"/>
                <w:szCs w:val="28"/>
              </w:rPr>
            </w:pPr>
            <w:r>
              <w:rPr>
                <w:rStyle w:val="font71"/>
                <w:rFonts w:ascii="楷体_GB2312" w:hint="eastAsia"/>
                <w:szCs w:val="28"/>
              </w:rPr>
              <w:t>21</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A66D93">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A66D93">
            <w:pPr>
              <w:jc w:val="left"/>
            </w:pPr>
            <w:r>
              <w:rPr>
                <w:rStyle w:val="font71"/>
                <w:rFonts w:ascii="楷体_GB2312" w:hint="eastAsia"/>
                <w:szCs w:val="28"/>
              </w:rPr>
              <w:t>锡林郭勒盟生态环境局苏尼特右旗分局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A66D93">
            <w:pPr>
              <w:widowControl/>
              <w:jc w:val="center"/>
              <w:rPr>
                <w:rFonts w:eastAsia="楷体_GB2312"/>
                <w:b/>
                <w:sz w:val="32"/>
              </w:rPr>
            </w:pPr>
            <w:r>
              <w:rPr>
                <w:rFonts w:eastAsia="楷体_GB2312" w:hint="eastAsia"/>
                <w:b/>
                <w:sz w:val="32"/>
              </w:rPr>
              <w:t>资产</w:t>
            </w:r>
          </w:p>
          <w:p w:rsidR="00000000" w:rsidRDefault="00A66D93">
            <w:pPr>
              <w:widowControl/>
              <w:jc w:val="center"/>
              <w:rPr>
                <w:rFonts w:eastAsia="楷体_GB2312"/>
                <w:b/>
                <w:sz w:val="32"/>
              </w:rPr>
            </w:pPr>
            <w:r>
              <w:rPr>
                <w:rFonts w:eastAsia="楷体_GB2312" w:hint="eastAsia"/>
                <w:b/>
                <w:sz w:val="32"/>
              </w:rPr>
              <w:t>损益</w:t>
            </w:r>
          </w:p>
          <w:p w:rsidR="00000000" w:rsidRDefault="00A66D93">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A66D93">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A66D93">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A66D93">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Style w:val="font61"/>
              </w:rPr>
            </w:pPr>
            <w:r>
              <w:rPr>
                <w:rStyle w:val="font61"/>
              </w:rPr>
              <w:t>.0064</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A66D93">
            <w:pPr>
              <w:jc w:val="center"/>
            </w:pPr>
            <w:r>
              <w:rPr>
                <w:rStyle w:val="font71"/>
                <w:sz w:val="32"/>
                <w:szCs w:val="32"/>
              </w:rPr>
              <w:t>3.7</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A66D93">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A66D93">
            <w:pPr>
              <w:spacing w:line="0" w:lineRule="atLeast"/>
              <w:jc w:val="left"/>
              <w:rPr>
                <w:rFonts w:ascii="楷体_GB2312" w:eastAsia="楷体_GB2312"/>
                <w:sz w:val="32"/>
              </w:rPr>
            </w:pPr>
            <w:r>
              <w:rPr>
                <w:rFonts w:ascii="楷体_GB2312" w:eastAsia="楷体_GB2312" w:hint="eastAsia"/>
                <w:b/>
                <w:bCs/>
                <w:sz w:val="32"/>
              </w:rPr>
              <w:t>苏尼特右旗生态环境综合行政执法大队</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A66D93">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A66D93">
            <w:pPr>
              <w:spacing w:line="0" w:lineRule="atLeast"/>
              <w:jc w:val="left"/>
              <w:rPr>
                <w:rFonts w:ascii="楷体_GB2312" w:eastAsia="楷体_GB2312"/>
                <w:sz w:val="32"/>
              </w:rPr>
            </w:pPr>
            <w:r>
              <w:rPr>
                <w:rStyle w:val="font61"/>
              </w:rPr>
              <w:t>8</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lastRenderedPageBreak/>
              <w:t>对《条</w:t>
            </w:r>
          </w:p>
          <w:p w:rsidR="00000000" w:rsidRDefault="00A66D93">
            <w:pPr>
              <w:jc w:val="center"/>
              <w:rPr>
                <w:rFonts w:eastAsia="楷体_GB2312"/>
                <w:b/>
                <w:bCs/>
                <w:sz w:val="32"/>
              </w:rPr>
            </w:pPr>
            <w:r>
              <w:rPr>
                <w:rFonts w:eastAsia="楷体_GB2312" w:hint="eastAsia"/>
                <w:b/>
                <w:bCs/>
                <w:sz w:val="32"/>
              </w:rPr>
              <w:t>例》和</w:t>
            </w:r>
          </w:p>
          <w:p w:rsidR="00000000" w:rsidRDefault="00A66D93">
            <w:pPr>
              <w:jc w:val="center"/>
              <w:rPr>
                <w:rFonts w:eastAsia="楷体_GB2312"/>
                <w:b/>
                <w:bCs/>
                <w:sz w:val="32"/>
              </w:rPr>
            </w:pPr>
            <w:r>
              <w:rPr>
                <w:rFonts w:eastAsia="楷体_GB2312" w:hint="eastAsia"/>
                <w:b/>
                <w:bCs/>
                <w:sz w:val="32"/>
              </w:rPr>
              <w:t>实施细</w:t>
            </w:r>
          </w:p>
          <w:p w:rsidR="00000000" w:rsidRDefault="00A66D93">
            <w:pPr>
              <w:jc w:val="center"/>
              <w:rPr>
                <w:rFonts w:eastAsia="楷体_GB2312"/>
                <w:b/>
                <w:bCs/>
                <w:sz w:val="32"/>
              </w:rPr>
            </w:pPr>
            <w:r>
              <w:rPr>
                <w:rFonts w:eastAsia="楷体_GB2312" w:hint="eastAsia"/>
                <w:b/>
                <w:bCs/>
                <w:sz w:val="32"/>
              </w:rPr>
              <w:t>则有关</w:t>
            </w:r>
          </w:p>
          <w:p w:rsidR="00000000" w:rsidRDefault="00A66D93">
            <w:pPr>
              <w:jc w:val="center"/>
              <w:rPr>
                <w:rFonts w:eastAsia="楷体_GB2312"/>
                <w:b/>
                <w:bCs/>
                <w:sz w:val="32"/>
              </w:rPr>
            </w:pPr>
            <w:r>
              <w:rPr>
                <w:rFonts w:eastAsia="楷体_GB2312" w:hint="eastAsia"/>
                <w:b/>
                <w:bCs/>
                <w:sz w:val="32"/>
              </w:rPr>
              <w:t>变更登</w:t>
            </w:r>
          </w:p>
          <w:p w:rsidR="00000000" w:rsidRDefault="00A66D93">
            <w:pPr>
              <w:jc w:val="center"/>
              <w:rPr>
                <w:rFonts w:eastAsia="楷体_GB2312"/>
                <w:b/>
                <w:bCs/>
                <w:sz w:val="32"/>
              </w:rPr>
            </w:pPr>
            <w:r>
              <w:rPr>
                <w:rFonts w:eastAsia="楷体_GB2312" w:hint="eastAsia"/>
                <w:b/>
                <w:bCs/>
                <w:sz w:val="32"/>
              </w:rPr>
              <w:t>记规定</w:t>
            </w:r>
          </w:p>
          <w:p w:rsidR="00000000" w:rsidRDefault="00A66D93">
            <w:pPr>
              <w:jc w:val="center"/>
              <w:rPr>
                <w:rFonts w:eastAsia="楷体_GB2312"/>
                <w:b/>
                <w:bCs/>
                <w:sz w:val="32"/>
              </w:rPr>
            </w:pPr>
            <w:r>
              <w:rPr>
                <w:rFonts w:eastAsia="楷体_GB2312" w:hint="eastAsia"/>
                <w:b/>
                <w:bCs/>
                <w:sz w:val="32"/>
              </w:rPr>
              <w:t>的执行</w:t>
            </w:r>
          </w:p>
          <w:p w:rsidR="00000000" w:rsidRDefault="00A66D93">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A66D93">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年度登记事项无变更情况。</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A66D93">
            <w:pPr>
              <w:jc w:val="center"/>
              <w:rPr>
                <w:rFonts w:eastAsia="楷体_GB2312"/>
                <w:b/>
                <w:bCs/>
                <w:sz w:val="32"/>
              </w:rPr>
            </w:pPr>
            <w:r>
              <w:rPr>
                <w:rFonts w:eastAsia="楷体_GB2312" w:hint="eastAsia"/>
                <w:b/>
                <w:bCs/>
                <w:sz w:val="32"/>
              </w:rPr>
              <w:t>开</w:t>
            </w:r>
          </w:p>
          <w:p w:rsidR="00000000" w:rsidRDefault="00A66D93">
            <w:pPr>
              <w:jc w:val="center"/>
              <w:rPr>
                <w:rFonts w:eastAsia="楷体_GB2312"/>
                <w:b/>
                <w:bCs/>
                <w:sz w:val="32"/>
              </w:rPr>
            </w:pPr>
            <w:r>
              <w:rPr>
                <w:rFonts w:eastAsia="楷体_GB2312" w:hint="eastAsia"/>
                <w:b/>
                <w:bCs/>
                <w:sz w:val="32"/>
              </w:rPr>
              <w:t>展</w:t>
            </w:r>
          </w:p>
          <w:p w:rsidR="00000000" w:rsidRDefault="00A66D93">
            <w:pPr>
              <w:jc w:val="center"/>
              <w:rPr>
                <w:rFonts w:eastAsia="楷体_GB2312"/>
                <w:b/>
                <w:bCs/>
                <w:sz w:val="32"/>
              </w:rPr>
            </w:pPr>
            <w:r>
              <w:rPr>
                <w:rFonts w:eastAsia="楷体_GB2312" w:hint="eastAsia"/>
                <w:b/>
                <w:bCs/>
                <w:sz w:val="32"/>
              </w:rPr>
              <w:t>业</w:t>
            </w:r>
          </w:p>
          <w:p w:rsidR="00000000" w:rsidRDefault="00A66D93">
            <w:pPr>
              <w:jc w:val="center"/>
              <w:rPr>
                <w:rFonts w:eastAsia="楷体_GB2312"/>
                <w:b/>
                <w:bCs/>
                <w:sz w:val="32"/>
              </w:rPr>
            </w:pPr>
            <w:r>
              <w:rPr>
                <w:rFonts w:eastAsia="楷体_GB2312" w:hint="eastAsia"/>
                <w:b/>
                <w:bCs/>
                <w:sz w:val="32"/>
              </w:rPr>
              <w:t>务</w:t>
            </w:r>
          </w:p>
          <w:p w:rsidR="00000000" w:rsidRDefault="00A66D93">
            <w:pPr>
              <w:jc w:val="center"/>
              <w:rPr>
                <w:rFonts w:eastAsia="楷体_GB2312"/>
                <w:b/>
                <w:bCs/>
                <w:sz w:val="32"/>
              </w:rPr>
            </w:pPr>
            <w:r>
              <w:rPr>
                <w:rFonts w:eastAsia="楷体_GB2312" w:hint="eastAsia"/>
                <w:b/>
                <w:bCs/>
                <w:sz w:val="32"/>
              </w:rPr>
              <w:t>活</w:t>
            </w:r>
          </w:p>
          <w:p w:rsidR="00000000" w:rsidRDefault="00A66D93">
            <w:pPr>
              <w:jc w:val="center"/>
              <w:rPr>
                <w:rFonts w:eastAsia="楷体_GB2312"/>
                <w:b/>
                <w:bCs/>
                <w:sz w:val="32"/>
              </w:rPr>
            </w:pPr>
            <w:r>
              <w:rPr>
                <w:rFonts w:eastAsia="楷体_GB2312" w:hint="eastAsia"/>
                <w:b/>
                <w:bCs/>
                <w:sz w:val="32"/>
              </w:rPr>
              <w:t>动</w:t>
            </w:r>
          </w:p>
          <w:p w:rsidR="00000000" w:rsidRDefault="00A66D93">
            <w:pPr>
              <w:jc w:val="center"/>
              <w:rPr>
                <w:rFonts w:eastAsia="楷体_GB2312"/>
                <w:b/>
                <w:bCs/>
                <w:sz w:val="32"/>
              </w:rPr>
            </w:pPr>
            <w:r>
              <w:rPr>
                <w:rFonts w:eastAsia="楷体_GB2312" w:hint="eastAsia"/>
                <w:b/>
                <w:bCs/>
                <w:sz w:val="32"/>
              </w:rPr>
              <w:t>情</w:t>
            </w:r>
          </w:p>
          <w:p w:rsidR="00000000" w:rsidRDefault="00A66D93">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A66D93">
            <w:pPr>
              <w:autoSpaceDE w:val="0"/>
              <w:autoSpaceDN w:val="0"/>
              <w:adjustRightInd w:val="0"/>
              <w:snapToGrid w:val="0"/>
              <w:spacing w:line="360" w:lineRule="auto"/>
              <w:rPr>
                <w:rStyle w:val="font71"/>
                <w:rFonts w:ascii="楷体_GB2312"/>
              </w:rPr>
            </w:pPr>
            <w:r>
              <w:rPr>
                <w:rStyle w:val="font71"/>
                <w:rFonts w:ascii="楷体_GB2312" w:hint="eastAsia"/>
              </w:rPr>
              <w:t>2023</w:t>
            </w:r>
            <w:r>
              <w:rPr>
                <w:rStyle w:val="font71"/>
                <w:rFonts w:ascii="楷体_GB2312" w:hint="eastAsia"/>
              </w:rPr>
              <w:t>年度，我单位认真贯彻《事业单位登记管理暂行条例》及实施细则，按照核准登记的业务范围开展活动，主要做了以下几个方面的工作：按照《内蒙古自治区生态环境厅关于印发</w:t>
            </w:r>
            <w:r>
              <w:rPr>
                <w:rStyle w:val="font71"/>
                <w:rFonts w:ascii="楷体_GB2312" w:hint="eastAsia"/>
              </w:rPr>
              <w:t>&lt;</w:t>
            </w:r>
            <w:r>
              <w:rPr>
                <w:rStyle w:val="font71"/>
                <w:rFonts w:ascii="楷体_GB2312" w:hint="eastAsia"/>
              </w:rPr>
              <w:t>内蒙古自治区生态环境“双随机、一公开”监管工作实施细则（试行）</w:t>
            </w:r>
            <w:r>
              <w:rPr>
                <w:rStyle w:val="font71"/>
                <w:rFonts w:ascii="楷体_GB2312" w:hint="eastAsia"/>
              </w:rPr>
              <w:t>&gt;</w:t>
            </w:r>
            <w:r>
              <w:rPr>
                <w:rStyle w:val="font71"/>
                <w:rFonts w:ascii="楷体_GB2312" w:hint="eastAsia"/>
              </w:rPr>
              <w:t>的通知》具体要求，在全旗范围内开展了生态环境保护执法检查工作。全年出动执法人员</w:t>
            </w:r>
            <w:r>
              <w:rPr>
                <w:rStyle w:val="font71"/>
                <w:rFonts w:ascii="楷体_GB2312" w:hint="eastAsia"/>
              </w:rPr>
              <w:t>248</w:t>
            </w:r>
            <w:r>
              <w:rPr>
                <w:rStyle w:val="font71"/>
                <w:rFonts w:ascii="楷体_GB2312" w:hint="eastAsia"/>
              </w:rPr>
              <w:t>人次，现场检查企业</w:t>
            </w:r>
            <w:r>
              <w:rPr>
                <w:rStyle w:val="font71"/>
                <w:rFonts w:ascii="楷体_GB2312" w:hint="eastAsia"/>
              </w:rPr>
              <w:t>26</w:t>
            </w:r>
            <w:r>
              <w:rPr>
                <w:rStyle w:val="font71"/>
                <w:rFonts w:ascii="楷体_GB2312" w:hint="eastAsia"/>
              </w:rPr>
              <w:t>家，非现场检查企业</w:t>
            </w:r>
            <w:r>
              <w:rPr>
                <w:rStyle w:val="font71"/>
                <w:rFonts w:ascii="楷体_GB2312" w:hint="eastAsia"/>
              </w:rPr>
              <w:t>43</w:t>
            </w:r>
            <w:r>
              <w:rPr>
                <w:rStyle w:val="font71"/>
                <w:rFonts w:ascii="楷体_GB2312" w:hint="eastAsia"/>
              </w:rPr>
              <w:t>家，使用移动执法</w:t>
            </w:r>
            <w:r>
              <w:rPr>
                <w:rStyle w:val="font71"/>
                <w:rFonts w:ascii="楷体_GB2312" w:hint="eastAsia"/>
              </w:rPr>
              <w:t>216</w:t>
            </w:r>
            <w:r>
              <w:rPr>
                <w:rStyle w:val="font71"/>
                <w:rFonts w:ascii="楷体_GB2312" w:hint="eastAsia"/>
              </w:rPr>
              <w:t>次，下达责令改正决定书</w:t>
            </w:r>
            <w:r>
              <w:rPr>
                <w:rStyle w:val="font71"/>
                <w:rFonts w:ascii="楷体_GB2312" w:hint="eastAsia"/>
              </w:rPr>
              <w:t>2</w:t>
            </w:r>
            <w:r>
              <w:rPr>
                <w:rStyle w:val="font71"/>
                <w:rFonts w:ascii="楷体_GB2312" w:hint="eastAsia"/>
              </w:rPr>
              <w:t>件，下达行政处罚决定书</w:t>
            </w:r>
            <w:r>
              <w:rPr>
                <w:rStyle w:val="font71"/>
                <w:rFonts w:ascii="楷体_GB2312" w:hint="eastAsia"/>
              </w:rPr>
              <w:t>2</w:t>
            </w:r>
            <w:r>
              <w:rPr>
                <w:rStyle w:val="font71"/>
                <w:rFonts w:ascii="楷体_GB2312" w:hint="eastAsia"/>
              </w:rPr>
              <w:t>件，罚款</w:t>
            </w:r>
            <w:r>
              <w:rPr>
                <w:rStyle w:val="font71"/>
                <w:rFonts w:ascii="楷体_GB2312" w:hint="eastAsia"/>
              </w:rPr>
              <w:t>21</w:t>
            </w:r>
            <w:r>
              <w:rPr>
                <w:rStyle w:val="font71"/>
                <w:rFonts w:ascii="楷体_GB2312" w:hint="eastAsia"/>
              </w:rPr>
              <w:t>万元；</w:t>
            </w:r>
            <w:r>
              <w:rPr>
                <w:rStyle w:val="font71"/>
                <w:rFonts w:ascii="楷体_GB2312" w:hint="eastAsia"/>
              </w:rPr>
              <w:t>12345</w:t>
            </w:r>
            <w:r>
              <w:rPr>
                <w:rStyle w:val="font71"/>
                <w:rFonts w:ascii="楷体_GB2312" w:hint="eastAsia"/>
              </w:rPr>
              <w:t>信访平台接受投诉</w:t>
            </w:r>
            <w:r>
              <w:rPr>
                <w:rStyle w:val="font71"/>
                <w:rFonts w:ascii="楷体_GB2312" w:hint="eastAsia"/>
              </w:rPr>
              <w:t>7</w:t>
            </w:r>
            <w:r>
              <w:rPr>
                <w:rStyle w:val="font71"/>
                <w:rFonts w:ascii="楷体_GB2312" w:hint="eastAsia"/>
              </w:rPr>
              <w:t>件，已全部办结，办结率</w:t>
            </w:r>
            <w:r>
              <w:rPr>
                <w:rStyle w:val="font71"/>
                <w:rFonts w:ascii="楷体_GB2312" w:hint="eastAsia"/>
              </w:rPr>
              <w:t>100%</w:t>
            </w:r>
            <w:r>
              <w:rPr>
                <w:rStyle w:val="font71"/>
                <w:rFonts w:ascii="楷体_GB2312" w:hint="eastAsia"/>
              </w:rPr>
              <w:t>。全旗无</w:t>
            </w:r>
            <w:r>
              <w:rPr>
                <w:rStyle w:val="font71"/>
                <w:rFonts w:ascii="楷体_GB2312" w:hint="eastAsia"/>
              </w:rPr>
              <w:t>环境污染及重大生态环境违法问题。</w:t>
            </w:r>
            <w:r>
              <w:rPr>
                <w:rStyle w:val="font71"/>
                <w:rFonts w:ascii="楷体_GB2312" w:hint="eastAsia"/>
              </w:rPr>
              <w:t xml:space="preserve"> </w:t>
            </w:r>
          </w:p>
          <w:p w:rsidR="00000000" w:rsidRDefault="00A66D93">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A66D93">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A66D93">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A66D93">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A66D93">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A66D93">
            <w:pPr>
              <w:spacing w:line="0" w:lineRule="atLeast"/>
              <w:rPr>
                <w:rFonts w:eastAsia="楷体_GB2312"/>
                <w:b/>
                <w:bCs/>
                <w:sz w:val="32"/>
              </w:rPr>
            </w:pPr>
            <w:r>
              <w:rPr>
                <w:rFonts w:eastAsia="楷体_GB2312" w:hint="eastAsia"/>
                <w:b/>
                <w:bCs/>
                <w:sz w:val="32"/>
              </w:rPr>
              <w:t>接受捐赠</w:t>
            </w:r>
          </w:p>
          <w:p w:rsidR="00000000" w:rsidRDefault="00A66D93">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A66D93">
            <w:pPr>
              <w:jc w:val="left"/>
            </w:pPr>
            <w:r>
              <w:rPr>
                <w:rStyle w:val="font71"/>
                <w:rFonts w:ascii="楷体_GB2312" w:hint="eastAsia"/>
                <w:szCs w:val="28"/>
              </w:rPr>
              <w:t>无</w:t>
            </w:r>
          </w:p>
        </w:tc>
      </w:tr>
    </w:tbl>
    <w:p w:rsidR="00A66D93" w:rsidRDefault="00A66D93">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恩克</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13722095591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12</w:t>
      </w:r>
      <w:r>
        <w:rPr>
          <w:rStyle w:val="font61"/>
          <w:rFonts w:ascii="楷体_GB2312" w:hint="eastAsia"/>
          <w:b/>
          <w:bCs/>
          <w:sz w:val="28"/>
          <w:szCs w:val="28"/>
        </w:rPr>
        <w:t>日</w:t>
      </w:r>
    </w:p>
    <w:sectPr w:rsidR="00A66D93">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93" w:rsidRDefault="00A66D93" w:rsidP="000C4730">
      <w:r>
        <w:separator/>
      </w:r>
    </w:p>
  </w:endnote>
  <w:endnote w:type="continuationSeparator" w:id="0">
    <w:p w:rsidR="00A66D93" w:rsidRDefault="00A66D93" w:rsidP="000C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93" w:rsidRDefault="00A66D93" w:rsidP="000C4730">
      <w:r>
        <w:separator/>
      </w:r>
    </w:p>
  </w:footnote>
  <w:footnote w:type="continuationSeparator" w:id="0">
    <w:p w:rsidR="00A66D93" w:rsidRDefault="00A66D93" w:rsidP="000C4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730"/>
    <w:rsid w:val="000C4730"/>
    <w:rsid w:val="00A66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Words>
  <Characters>811</Characters>
  <Application>Microsoft Office Word</Application>
  <DocSecurity>0</DocSecurity>
  <Lines>6</Lines>
  <Paragraphs>1</Paragraphs>
  <ScaleCrop>false</ScaleCrop>
  <Company>WwW.YlmF.CoM</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2024-03-22T08:25:00Z</dcterms:created>
  <dcterms:modified xsi:type="dcterms:W3CDTF">2024-03-22T08:25:00Z</dcterms:modified>
</cp:coreProperties>
</file>