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4D33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AF4D33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12152524MB1G600267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AF4D33">
      <w:pPr>
        <w:jc w:val="right"/>
      </w:pPr>
    </w:p>
    <w:p w:rsidR="00000000" w:rsidRDefault="00AF4D33">
      <w:pPr>
        <w:jc w:val="right"/>
      </w:pPr>
    </w:p>
    <w:p w:rsidR="00000000" w:rsidRDefault="00AF4D33">
      <w:pPr>
        <w:jc w:val="right"/>
      </w:pPr>
    </w:p>
    <w:p w:rsidR="00000000" w:rsidRDefault="00AF4D33">
      <w:pPr>
        <w:jc w:val="right"/>
      </w:pPr>
    </w:p>
    <w:p w:rsidR="00000000" w:rsidRDefault="00AF4D33">
      <w:pPr>
        <w:jc w:val="right"/>
      </w:pPr>
    </w:p>
    <w:p w:rsidR="00000000" w:rsidRDefault="00AF4D33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AF4D33">
      <w:pPr>
        <w:jc w:val="center"/>
        <w:rPr>
          <w:rFonts w:eastAsia="黑体"/>
          <w:b/>
          <w:bCs/>
          <w:spacing w:val="30"/>
        </w:rPr>
      </w:pPr>
    </w:p>
    <w:p w:rsidR="00000000" w:rsidRDefault="00AF4D33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AF4D33">
      <w:pPr>
        <w:jc w:val="center"/>
        <w:rPr>
          <w:sz w:val="36"/>
        </w:rPr>
      </w:pPr>
    </w:p>
    <w:p w:rsidR="00000000" w:rsidRDefault="00AF4D33">
      <w:pPr>
        <w:jc w:val="center"/>
        <w:rPr>
          <w:sz w:val="36"/>
        </w:rPr>
      </w:pPr>
    </w:p>
    <w:p w:rsidR="00000000" w:rsidRDefault="00AF4D33">
      <w:pPr>
        <w:jc w:val="center"/>
        <w:rPr>
          <w:sz w:val="36"/>
        </w:rPr>
      </w:pPr>
    </w:p>
    <w:p w:rsidR="00000000" w:rsidRDefault="00AF4D33">
      <w:pPr>
        <w:jc w:val="center"/>
        <w:rPr>
          <w:sz w:val="36"/>
        </w:rPr>
      </w:pPr>
    </w:p>
    <w:p w:rsidR="00000000" w:rsidRDefault="00AF4D33">
      <w:pPr>
        <w:jc w:val="center"/>
        <w:rPr>
          <w:sz w:val="36"/>
        </w:rPr>
      </w:pPr>
    </w:p>
    <w:p w:rsidR="00000000" w:rsidRDefault="00AF4D33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AF4D33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AF4D33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苏尼特右旗额仁淖尔苏木综合行政执法局</w:t>
            </w:r>
          </w:p>
        </w:tc>
      </w:tr>
    </w:tbl>
    <w:p w:rsidR="00000000" w:rsidRDefault="00AF4D33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AF4D33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AF4D33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AF4D33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AF4D33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AF4D33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AF4D33">
      <w:pPr>
        <w:jc w:val="center"/>
        <w:rPr>
          <w:rFonts w:hint="eastAsia"/>
          <w:u w:val="single"/>
        </w:rPr>
      </w:pPr>
    </w:p>
    <w:p w:rsidR="00000000" w:rsidRDefault="00AF4D33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AF4D33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AF4D33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F4D33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苏尼特右旗额仁淖尔苏木综合行政执法局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F4D33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贯彻落实国家、自治区有关法律法规。以额仁淖尔苏木人民政府名义开展行政执法工作，集中行使自治区人民政府赋予苏木镇的行政处罚权；承担旗人民政府或相关部门依法委托的行政执法工作。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F4D33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苏尼特右旗额仁淖尔苏木人民政府党政办公楼二楼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F4D33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李树林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F4D33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1.12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F4D33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F4D33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苏尼特右旗额仁淖尔苏木人民政府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AF4D33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AF4D33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F4D33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F4D33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1.12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F4D33">
            <w:pPr>
              <w:jc w:val="center"/>
            </w:pPr>
            <w:r>
              <w:rPr>
                <w:rStyle w:val="font71"/>
                <w:sz w:val="32"/>
                <w:szCs w:val="32"/>
              </w:rPr>
              <w:t>1.12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苏尼特右旗额仁淖尔苏木综合行政执法局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AF4D33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10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AF4D33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F4D33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2023</w:t>
            </w:r>
            <w:r>
              <w:rPr>
                <w:rStyle w:val="font71"/>
                <w:rFonts w:ascii="楷体_GB2312" w:hint="eastAsia"/>
                <w:szCs w:val="28"/>
              </w:rPr>
              <w:t>年无变更情况。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AF4D33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AF4D33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AF4D33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，我苏木综合行政执法工作在苏木党委、政府的正确领导下，紧紧围绕全苏木行政执法工作大局，按照上级部门及党委政府工作部署，细化工作措施，狠抓工作落实，深入推进综合行政执法工作，依法开展行政处罚工作，取得了良好成效，现将我苏木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年综合行政执法工作情况总结如下：一、加强队伍建设，打造高效为民的执法队伍，加强综合执法队力量建设，组织在编在岗工作人员参加执法证考试，本单位工作人员有</w:t>
            </w:r>
            <w:r>
              <w:rPr>
                <w:rStyle w:val="font71"/>
                <w:rFonts w:ascii="楷体_GB2312" w:hint="eastAsia"/>
              </w:rPr>
              <w:t>10</w:t>
            </w:r>
            <w:r>
              <w:rPr>
                <w:rStyle w:val="font71"/>
                <w:rFonts w:ascii="楷体_GB2312" w:hint="eastAsia"/>
              </w:rPr>
              <w:t>名，已取得执法证件。二、深入开展内蒙古自治区草原生态保护相关政策，巡逻发现</w:t>
            </w:r>
            <w:r>
              <w:rPr>
                <w:rStyle w:val="font71"/>
                <w:rFonts w:ascii="楷体_GB2312" w:hint="eastAsia"/>
              </w:rPr>
              <w:t>9</w:t>
            </w:r>
            <w:r>
              <w:rPr>
                <w:rStyle w:val="font71"/>
                <w:rFonts w:ascii="楷体_GB2312" w:hint="eastAsia"/>
              </w:rPr>
              <w:t>起违反草原法律法规案件，已结案，共罚款</w:t>
            </w:r>
            <w:r>
              <w:rPr>
                <w:rStyle w:val="font71"/>
                <w:rFonts w:ascii="楷体_GB2312" w:hint="eastAsia"/>
              </w:rPr>
              <w:t>1.5</w:t>
            </w:r>
            <w:r>
              <w:rPr>
                <w:rStyle w:val="font71"/>
                <w:rFonts w:ascii="楷体_GB2312" w:hint="eastAsia"/>
              </w:rPr>
              <w:t>84</w:t>
            </w:r>
            <w:r>
              <w:rPr>
                <w:rStyle w:val="font71"/>
                <w:rFonts w:ascii="楷体_GB2312" w:hint="eastAsia"/>
              </w:rPr>
              <w:t>万元，罚款已上交财政国库。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AF4D33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F4D33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AF4D33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AF4D33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接受捐赠</w:t>
            </w:r>
          </w:p>
          <w:p w:rsidR="00000000" w:rsidRDefault="00AF4D33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AF4D33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AF4D33" w:rsidRDefault="00AF4D33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乌日嘎马拉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15247977991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02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19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AF4D3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33" w:rsidRDefault="00AF4D33" w:rsidP="00C76D64">
      <w:r>
        <w:separator/>
      </w:r>
    </w:p>
  </w:endnote>
  <w:endnote w:type="continuationSeparator" w:id="0">
    <w:p w:rsidR="00AF4D33" w:rsidRDefault="00AF4D33" w:rsidP="00C76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33" w:rsidRDefault="00AF4D33" w:rsidP="00C76D64">
      <w:r>
        <w:separator/>
      </w:r>
    </w:p>
  </w:footnote>
  <w:footnote w:type="continuationSeparator" w:id="0">
    <w:p w:rsidR="00AF4D33" w:rsidRDefault="00AF4D33" w:rsidP="00C76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D64"/>
    <w:rsid w:val="00AF4D33"/>
    <w:rsid w:val="00C7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771</Characters>
  <Application>Microsoft Office Word</Application>
  <DocSecurity>0</DocSecurity>
  <Lines>6</Lines>
  <Paragraphs>1</Paragraphs>
  <ScaleCrop>false</ScaleCrop>
  <Company>WwW.YlmF.CoM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2024-03-22T08:07:00Z</dcterms:created>
  <dcterms:modified xsi:type="dcterms:W3CDTF">2024-03-22T08:07:00Z</dcterms:modified>
</cp:coreProperties>
</file>