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4C1E">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264C1E">
      <w:pPr>
        <w:wordWrap w:val="0"/>
        <w:jc w:val="right"/>
        <w:rPr>
          <w:rFonts w:eastAsia="楷体_GB2312" w:hint="eastAsia"/>
          <w:b/>
          <w:bCs/>
          <w:sz w:val="30"/>
        </w:rPr>
      </w:pPr>
      <w:r>
        <w:rPr>
          <w:rFonts w:eastAsia="楷体_GB2312"/>
          <w:b/>
          <w:bCs/>
          <w:sz w:val="30"/>
        </w:rPr>
        <w:t xml:space="preserve">   </w:t>
      </w:r>
      <w:r>
        <w:rPr>
          <w:rStyle w:val="font21"/>
          <w:b/>
          <w:bCs/>
          <w:szCs w:val="30"/>
        </w:rPr>
        <w:t>12152524MB1282310E</w:t>
      </w:r>
      <w:r>
        <w:rPr>
          <w:rFonts w:eastAsia="楷体_GB2312"/>
          <w:b/>
          <w:bCs/>
          <w:sz w:val="30"/>
        </w:rPr>
        <w:t xml:space="preserve">   </w:t>
      </w:r>
    </w:p>
    <w:p w:rsidR="00000000" w:rsidRDefault="00264C1E">
      <w:pPr>
        <w:jc w:val="right"/>
      </w:pPr>
    </w:p>
    <w:p w:rsidR="00000000" w:rsidRDefault="00264C1E">
      <w:pPr>
        <w:jc w:val="right"/>
      </w:pPr>
    </w:p>
    <w:p w:rsidR="00000000" w:rsidRDefault="00264C1E">
      <w:pPr>
        <w:jc w:val="right"/>
      </w:pPr>
    </w:p>
    <w:p w:rsidR="00000000" w:rsidRDefault="00264C1E">
      <w:pPr>
        <w:jc w:val="right"/>
      </w:pPr>
    </w:p>
    <w:p w:rsidR="00000000" w:rsidRDefault="00264C1E">
      <w:pPr>
        <w:jc w:val="right"/>
      </w:pPr>
    </w:p>
    <w:p w:rsidR="00000000" w:rsidRDefault="00264C1E">
      <w:pPr>
        <w:jc w:val="center"/>
        <w:rPr>
          <w:rFonts w:eastAsia="黑体"/>
          <w:b/>
          <w:bCs/>
          <w:spacing w:val="40"/>
          <w:sz w:val="52"/>
        </w:rPr>
      </w:pPr>
      <w:r>
        <w:rPr>
          <w:rFonts w:eastAsia="黑体" w:hAnsi="黑体" w:hint="eastAsia"/>
          <w:b/>
          <w:bCs/>
          <w:spacing w:val="40"/>
          <w:sz w:val="52"/>
        </w:rPr>
        <w:t>事业单位法人年度报告书</w:t>
      </w:r>
    </w:p>
    <w:p w:rsidR="00000000" w:rsidRDefault="00264C1E">
      <w:pPr>
        <w:jc w:val="center"/>
        <w:rPr>
          <w:rFonts w:eastAsia="黑体"/>
          <w:b/>
          <w:bCs/>
          <w:spacing w:val="30"/>
        </w:rPr>
      </w:pPr>
    </w:p>
    <w:p w:rsidR="00000000" w:rsidRDefault="00264C1E">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264C1E">
      <w:pPr>
        <w:jc w:val="center"/>
        <w:rPr>
          <w:sz w:val="36"/>
        </w:rPr>
      </w:pPr>
    </w:p>
    <w:p w:rsidR="00000000" w:rsidRDefault="00264C1E">
      <w:pPr>
        <w:jc w:val="center"/>
        <w:rPr>
          <w:sz w:val="36"/>
        </w:rPr>
      </w:pPr>
    </w:p>
    <w:p w:rsidR="00000000" w:rsidRDefault="00264C1E">
      <w:pPr>
        <w:jc w:val="center"/>
        <w:rPr>
          <w:sz w:val="36"/>
        </w:rPr>
      </w:pPr>
    </w:p>
    <w:p w:rsidR="00000000" w:rsidRDefault="00264C1E">
      <w:pPr>
        <w:jc w:val="center"/>
        <w:rPr>
          <w:sz w:val="36"/>
        </w:rPr>
      </w:pPr>
    </w:p>
    <w:p w:rsidR="00000000" w:rsidRDefault="00264C1E">
      <w:pPr>
        <w:jc w:val="center"/>
        <w:rPr>
          <w:sz w:val="36"/>
        </w:rPr>
      </w:pPr>
    </w:p>
    <w:p w:rsidR="00000000" w:rsidRDefault="00264C1E">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264C1E">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264C1E">
            <w:pPr>
              <w:jc w:val="center"/>
              <w:rPr>
                <w:rStyle w:val="font61"/>
                <w:rFonts w:ascii="楷体_GB2312"/>
              </w:rPr>
            </w:pPr>
            <w:r>
              <w:rPr>
                <w:rStyle w:val="font61"/>
                <w:rFonts w:ascii="楷体_GB2312" w:hint="eastAsia"/>
              </w:rPr>
              <w:t>苏尼特右旗都呼木柄扁桃自治区级自然保护区管护中心</w:t>
            </w:r>
          </w:p>
        </w:tc>
      </w:tr>
    </w:tbl>
    <w:p w:rsidR="00000000" w:rsidRDefault="00264C1E">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264C1E">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264C1E">
            <w:pPr>
              <w:widowControl/>
              <w:jc w:val="left"/>
              <w:rPr>
                <w:kern w:val="0"/>
                <w:sz w:val="20"/>
                <w:szCs w:val="20"/>
              </w:rPr>
            </w:pPr>
          </w:p>
        </w:tc>
      </w:tr>
    </w:tbl>
    <w:p w:rsidR="00000000" w:rsidRDefault="00264C1E">
      <w:pPr>
        <w:ind w:firstLineChars="300" w:firstLine="723"/>
        <w:rPr>
          <w:rFonts w:ascii="黑体" w:eastAsia="黑体" w:hAnsi="黑体" w:hint="eastAsia"/>
          <w:b/>
          <w:bCs/>
          <w:sz w:val="24"/>
          <w:u w:val="single"/>
        </w:rPr>
      </w:pPr>
    </w:p>
    <w:p w:rsidR="00000000" w:rsidRDefault="00264C1E">
      <w:pPr>
        <w:jc w:val="center"/>
        <w:rPr>
          <w:rFonts w:ascii="黑体" w:eastAsia="黑体" w:hAnsi="黑体" w:hint="eastAsia"/>
          <w:b/>
          <w:bCs/>
          <w:sz w:val="30"/>
          <w:u w:val="single"/>
        </w:rPr>
      </w:pPr>
    </w:p>
    <w:p w:rsidR="00000000" w:rsidRDefault="00264C1E">
      <w:pPr>
        <w:jc w:val="center"/>
        <w:rPr>
          <w:rFonts w:ascii="黑体" w:eastAsia="黑体" w:hAnsi="黑体" w:hint="eastAsia"/>
          <w:b/>
          <w:bCs/>
          <w:sz w:val="30"/>
          <w:u w:val="single"/>
        </w:rPr>
      </w:pPr>
    </w:p>
    <w:p w:rsidR="00000000" w:rsidRDefault="00264C1E">
      <w:pPr>
        <w:jc w:val="center"/>
        <w:rPr>
          <w:rFonts w:hint="eastAsia"/>
          <w:u w:val="single"/>
        </w:rPr>
      </w:pPr>
    </w:p>
    <w:p w:rsidR="00000000" w:rsidRDefault="00264C1E">
      <w:pPr>
        <w:jc w:val="center"/>
        <w:rPr>
          <w:rFonts w:eastAsia="楷体_GB2312"/>
          <w:b/>
          <w:bCs/>
          <w:sz w:val="32"/>
        </w:rPr>
      </w:pPr>
      <w:r>
        <w:rPr>
          <w:rFonts w:eastAsia="楷体_GB2312" w:hint="eastAsia"/>
          <w:b/>
          <w:bCs/>
          <w:sz w:val="32"/>
        </w:rPr>
        <w:t>国家事业单位登记管理局制</w:t>
      </w:r>
    </w:p>
    <w:p w:rsidR="00000000" w:rsidRDefault="00264C1E">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lastRenderedPageBreak/>
              <w:t>《事业</w:t>
            </w:r>
          </w:p>
          <w:p w:rsidR="00000000" w:rsidRDefault="00264C1E">
            <w:pPr>
              <w:jc w:val="center"/>
              <w:rPr>
                <w:rFonts w:eastAsia="楷体_GB2312"/>
                <w:b/>
                <w:bCs/>
                <w:sz w:val="32"/>
              </w:rPr>
            </w:pPr>
            <w:r>
              <w:rPr>
                <w:rFonts w:eastAsia="楷体_GB2312" w:hint="eastAsia"/>
                <w:b/>
                <w:bCs/>
                <w:sz w:val="32"/>
              </w:rPr>
              <w:t>单位</w:t>
            </w:r>
          </w:p>
          <w:p w:rsidR="00000000" w:rsidRDefault="00264C1E">
            <w:pPr>
              <w:jc w:val="center"/>
              <w:rPr>
                <w:rFonts w:eastAsia="楷体_GB2312"/>
                <w:b/>
                <w:bCs/>
                <w:sz w:val="32"/>
              </w:rPr>
            </w:pPr>
            <w:r>
              <w:rPr>
                <w:rFonts w:eastAsia="楷体_GB2312" w:hint="eastAsia"/>
                <w:b/>
                <w:bCs/>
                <w:sz w:val="32"/>
              </w:rPr>
              <w:t>法人</w:t>
            </w:r>
          </w:p>
          <w:p w:rsidR="00000000" w:rsidRDefault="00264C1E">
            <w:pPr>
              <w:jc w:val="center"/>
              <w:rPr>
                <w:rFonts w:eastAsia="楷体_GB2312"/>
                <w:b/>
                <w:bCs/>
                <w:sz w:val="32"/>
              </w:rPr>
            </w:pPr>
            <w:r>
              <w:rPr>
                <w:rFonts w:eastAsia="楷体_GB2312" w:hint="eastAsia"/>
                <w:b/>
                <w:bCs/>
                <w:sz w:val="32"/>
              </w:rPr>
              <w:t>证书》</w:t>
            </w:r>
          </w:p>
          <w:p w:rsidR="00000000" w:rsidRDefault="00264C1E">
            <w:pPr>
              <w:jc w:val="center"/>
              <w:rPr>
                <w:rFonts w:eastAsia="楷体_GB2312"/>
                <w:b/>
                <w:bCs/>
                <w:sz w:val="32"/>
              </w:rPr>
            </w:pPr>
            <w:r>
              <w:rPr>
                <w:rFonts w:eastAsia="楷体_GB2312" w:hint="eastAsia"/>
                <w:b/>
                <w:bCs/>
                <w:sz w:val="32"/>
              </w:rPr>
              <w:t>登载</w:t>
            </w:r>
          </w:p>
          <w:p w:rsidR="00000000" w:rsidRDefault="00264C1E">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264C1E">
            <w:pPr>
              <w:spacing w:line="320" w:lineRule="exact"/>
              <w:jc w:val="left"/>
              <w:rPr>
                <w:rStyle w:val="font71"/>
                <w:rFonts w:ascii="楷体_GB2312"/>
                <w:szCs w:val="28"/>
              </w:rPr>
            </w:pPr>
            <w:r>
              <w:rPr>
                <w:rStyle w:val="font71"/>
                <w:rFonts w:ascii="楷体_GB2312" w:hint="eastAsia"/>
                <w:szCs w:val="28"/>
              </w:rPr>
              <w:t>苏尼特右旗都呼木柄扁桃自治区级自然保护区管护中心</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64C1E">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t>宗旨和</w:t>
            </w:r>
          </w:p>
          <w:p w:rsidR="00000000" w:rsidRDefault="00264C1E">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264C1E">
            <w:pPr>
              <w:jc w:val="left"/>
              <w:rPr>
                <w:rStyle w:val="font71"/>
                <w:rFonts w:ascii="楷体_GB2312"/>
                <w:szCs w:val="28"/>
              </w:rPr>
            </w:pPr>
            <w:r>
              <w:rPr>
                <w:rStyle w:val="font71"/>
                <w:rFonts w:ascii="楷体_GB2312" w:hint="eastAsia"/>
                <w:szCs w:val="28"/>
              </w:rPr>
              <w:t>保护都呼木柄扁桃自治区级自然保护区内柄扁桃资源。贯彻执行自然保护区法律法规方针政策；参与拟订和实施自然保护区总体规划和专项规划；制定实施各项管理制度；保护自然环境和资源；自然资源调查；自然保护区科学研究；自然保护区宣传教育。</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64C1E">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264C1E">
            <w:pPr>
              <w:jc w:val="left"/>
            </w:pPr>
            <w:r>
              <w:rPr>
                <w:rStyle w:val="font71"/>
                <w:rFonts w:ascii="楷体_GB2312" w:hint="eastAsia"/>
                <w:szCs w:val="28"/>
              </w:rPr>
              <w:t>苏尼特右旗自然资源局办公楼</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64C1E">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264C1E">
            <w:pPr>
              <w:jc w:val="left"/>
            </w:pPr>
            <w:r>
              <w:rPr>
                <w:rStyle w:val="font71"/>
                <w:rFonts w:ascii="楷体_GB2312" w:hint="eastAsia"/>
                <w:szCs w:val="28"/>
              </w:rPr>
              <w:t>赵玉平</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64C1E">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264C1E">
            <w:pPr>
              <w:jc w:val="left"/>
              <w:rPr>
                <w:rStyle w:val="font71"/>
                <w:rFonts w:ascii="楷体_GB2312"/>
                <w:szCs w:val="28"/>
              </w:rPr>
            </w:pPr>
            <w:r>
              <w:rPr>
                <w:rStyle w:val="font71"/>
                <w:rFonts w:ascii="楷体_GB2312" w:hint="eastAsia"/>
                <w:szCs w:val="28"/>
              </w:rPr>
              <w:t>4.1</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64C1E">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264C1E">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264C1E">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264C1E">
            <w:pPr>
              <w:jc w:val="left"/>
            </w:pPr>
            <w:r>
              <w:rPr>
                <w:rStyle w:val="font71"/>
                <w:rFonts w:ascii="楷体_GB2312" w:hint="eastAsia"/>
                <w:szCs w:val="28"/>
              </w:rPr>
              <w:t>苏尼特右旗林业和草原局</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264C1E">
            <w:pPr>
              <w:widowControl/>
              <w:jc w:val="center"/>
              <w:rPr>
                <w:rFonts w:eastAsia="楷体_GB2312"/>
                <w:b/>
                <w:sz w:val="32"/>
              </w:rPr>
            </w:pPr>
            <w:r>
              <w:rPr>
                <w:rFonts w:eastAsia="楷体_GB2312" w:hint="eastAsia"/>
                <w:b/>
                <w:sz w:val="32"/>
              </w:rPr>
              <w:t>资产</w:t>
            </w:r>
          </w:p>
          <w:p w:rsidR="00000000" w:rsidRDefault="00264C1E">
            <w:pPr>
              <w:widowControl/>
              <w:jc w:val="center"/>
              <w:rPr>
                <w:rFonts w:eastAsia="楷体_GB2312"/>
                <w:b/>
                <w:sz w:val="32"/>
              </w:rPr>
            </w:pPr>
            <w:r>
              <w:rPr>
                <w:rFonts w:eastAsia="楷体_GB2312" w:hint="eastAsia"/>
                <w:b/>
                <w:sz w:val="32"/>
              </w:rPr>
              <w:t>损益</w:t>
            </w:r>
          </w:p>
          <w:p w:rsidR="00000000" w:rsidRDefault="00264C1E">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264C1E">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264C1E">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264C1E">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264C1E">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Style w:val="font61"/>
              </w:rPr>
            </w:pPr>
            <w:r>
              <w:rPr>
                <w:rStyle w:val="font61"/>
              </w:rPr>
              <w:t>21.219</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264C1E">
            <w:pPr>
              <w:jc w:val="center"/>
            </w:pPr>
            <w:r>
              <w:rPr>
                <w:rStyle w:val="font71"/>
                <w:sz w:val="32"/>
                <w:szCs w:val="32"/>
              </w:rPr>
              <w:t>17.363</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264C1E">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264C1E">
            <w:pPr>
              <w:spacing w:line="0" w:lineRule="atLeast"/>
              <w:jc w:val="left"/>
              <w:rPr>
                <w:rFonts w:ascii="楷体_GB2312" w:eastAsia="楷体_GB2312"/>
                <w:sz w:val="32"/>
              </w:rPr>
            </w:pPr>
            <w:r>
              <w:rPr>
                <w:rFonts w:ascii="楷体_GB2312" w:eastAsia="楷体_GB2312" w:hint="eastAsia"/>
                <w:b/>
                <w:bCs/>
                <w:sz w:val="32"/>
              </w:rPr>
              <w:t>苏尼特右旗都呼木柄扁桃自治区级自然保护区管护中心</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264C1E">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264C1E">
            <w:pPr>
              <w:spacing w:line="0" w:lineRule="atLeast"/>
              <w:jc w:val="left"/>
              <w:rPr>
                <w:rFonts w:ascii="楷体_GB2312" w:eastAsia="楷体_GB2312"/>
                <w:sz w:val="32"/>
              </w:rPr>
            </w:pPr>
            <w:r>
              <w:rPr>
                <w:rStyle w:val="font61"/>
              </w:rPr>
              <w:t>6</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lastRenderedPageBreak/>
              <w:t>对《条</w:t>
            </w:r>
          </w:p>
          <w:p w:rsidR="00000000" w:rsidRDefault="00264C1E">
            <w:pPr>
              <w:jc w:val="center"/>
              <w:rPr>
                <w:rFonts w:eastAsia="楷体_GB2312"/>
                <w:b/>
                <w:bCs/>
                <w:sz w:val="32"/>
              </w:rPr>
            </w:pPr>
            <w:r>
              <w:rPr>
                <w:rFonts w:eastAsia="楷体_GB2312" w:hint="eastAsia"/>
                <w:b/>
                <w:bCs/>
                <w:sz w:val="32"/>
              </w:rPr>
              <w:t>例》和</w:t>
            </w:r>
          </w:p>
          <w:p w:rsidR="00000000" w:rsidRDefault="00264C1E">
            <w:pPr>
              <w:jc w:val="center"/>
              <w:rPr>
                <w:rFonts w:eastAsia="楷体_GB2312"/>
                <w:b/>
                <w:bCs/>
                <w:sz w:val="32"/>
              </w:rPr>
            </w:pPr>
            <w:r>
              <w:rPr>
                <w:rFonts w:eastAsia="楷体_GB2312" w:hint="eastAsia"/>
                <w:b/>
                <w:bCs/>
                <w:sz w:val="32"/>
              </w:rPr>
              <w:t>实施细</w:t>
            </w:r>
          </w:p>
          <w:p w:rsidR="00000000" w:rsidRDefault="00264C1E">
            <w:pPr>
              <w:jc w:val="center"/>
              <w:rPr>
                <w:rFonts w:eastAsia="楷体_GB2312"/>
                <w:b/>
                <w:bCs/>
                <w:sz w:val="32"/>
              </w:rPr>
            </w:pPr>
            <w:r>
              <w:rPr>
                <w:rFonts w:eastAsia="楷体_GB2312" w:hint="eastAsia"/>
                <w:b/>
                <w:bCs/>
                <w:sz w:val="32"/>
              </w:rPr>
              <w:t>则有关</w:t>
            </w:r>
          </w:p>
          <w:p w:rsidR="00000000" w:rsidRDefault="00264C1E">
            <w:pPr>
              <w:jc w:val="center"/>
              <w:rPr>
                <w:rFonts w:eastAsia="楷体_GB2312"/>
                <w:b/>
                <w:bCs/>
                <w:sz w:val="32"/>
              </w:rPr>
            </w:pPr>
            <w:r>
              <w:rPr>
                <w:rFonts w:eastAsia="楷体_GB2312" w:hint="eastAsia"/>
                <w:b/>
                <w:bCs/>
                <w:sz w:val="32"/>
              </w:rPr>
              <w:t>变更登</w:t>
            </w:r>
          </w:p>
          <w:p w:rsidR="00000000" w:rsidRDefault="00264C1E">
            <w:pPr>
              <w:jc w:val="center"/>
              <w:rPr>
                <w:rFonts w:eastAsia="楷体_GB2312"/>
                <w:b/>
                <w:bCs/>
                <w:sz w:val="32"/>
              </w:rPr>
            </w:pPr>
            <w:r>
              <w:rPr>
                <w:rFonts w:eastAsia="楷体_GB2312" w:hint="eastAsia"/>
                <w:b/>
                <w:bCs/>
                <w:sz w:val="32"/>
              </w:rPr>
              <w:t>记规定</w:t>
            </w:r>
          </w:p>
          <w:p w:rsidR="00000000" w:rsidRDefault="00264C1E">
            <w:pPr>
              <w:jc w:val="center"/>
              <w:rPr>
                <w:rFonts w:eastAsia="楷体_GB2312"/>
                <w:b/>
                <w:bCs/>
                <w:sz w:val="32"/>
              </w:rPr>
            </w:pPr>
            <w:r>
              <w:rPr>
                <w:rFonts w:eastAsia="楷体_GB2312" w:hint="eastAsia"/>
                <w:b/>
                <w:bCs/>
                <w:sz w:val="32"/>
              </w:rPr>
              <w:t>的执行</w:t>
            </w:r>
          </w:p>
          <w:p w:rsidR="00000000" w:rsidRDefault="00264C1E">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264C1E">
            <w:pPr>
              <w:spacing w:line="320" w:lineRule="exact"/>
              <w:rPr>
                <w:rStyle w:val="font71"/>
                <w:rFonts w:ascii="楷体_GB2312"/>
                <w:szCs w:val="28"/>
              </w:rPr>
            </w:pPr>
            <w:r>
              <w:rPr>
                <w:rStyle w:val="font71"/>
                <w:rFonts w:ascii="楷体_GB2312" w:hint="eastAsia"/>
                <w:szCs w:val="28"/>
              </w:rPr>
              <w:t>2023</w:t>
            </w:r>
            <w:r>
              <w:rPr>
                <w:rStyle w:val="font71"/>
                <w:rFonts w:ascii="楷体_GB2312" w:hint="eastAsia"/>
                <w:szCs w:val="28"/>
              </w:rPr>
              <w:t>年度我单位变更法定代表人，按规定程序申请了变更登记。</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264C1E">
            <w:pPr>
              <w:jc w:val="center"/>
              <w:rPr>
                <w:rFonts w:eastAsia="楷体_GB2312"/>
                <w:b/>
                <w:bCs/>
                <w:sz w:val="32"/>
              </w:rPr>
            </w:pPr>
            <w:r>
              <w:rPr>
                <w:rFonts w:eastAsia="楷体_GB2312" w:hint="eastAsia"/>
                <w:b/>
                <w:bCs/>
                <w:sz w:val="32"/>
              </w:rPr>
              <w:t>开</w:t>
            </w:r>
          </w:p>
          <w:p w:rsidR="00000000" w:rsidRDefault="00264C1E">
            <w:pPr>
              <w:jc w:val="center"/>
              <w:rPr>
                <w:rFonts w:eastAsia="楷体_GB2312"/>
                <w:b/>
                <w:bCs/>
                <w:sz w:val="32"/>
              </w:rPr>
            </w:pPr>
            <w:r>
              <w:rPr>
                <w:rFonts w:eastAsia="楷体_GB2312" w:hint="eastAsia"/>
                <w:b/>
                <w:bCs/>
                <w:sz w:val="32"/>
              </w:rPr>
              <w:t>展</w:t>
            </w:r>
          </w:p>
          <w:p w:rsidR="00000000" w:rsidRDefault="00264C1E">
            <w:pPr>
              <w:jc w:val="center"/>
              <w:rPr>
                <w:rFonts w:eastAsia="楷体_GB2312"/>
                <w:b/>
                <w:bCs/>
                <w:sz w:val="32"/>
              </w:rPr>
            </w:pPr>
            <w:r>
              <w:rPr>
                <w:rFonts w:eastAsia="楷体_GB2312" w:hint="eastAsia"/>
                <w:b/>
                <w:bCs/>
                <w:sz w:val="32"/>
              </w:rPr>
              <w:t>业</w:t>
            </w:r>
          </w:p>
          <w:p w:rsidR="00000000" w:rsidRDefault="00264C1E">
            <w:pPr>
              <w:jc w:val="center"/>
              <w:rPr>
                <w:rFonts w:eastAsia="楷体_GB2312"/>
                <w:b/>
                <w:bCs/>
                <w:sz w:val="32"/>
              </w:rPr>
            </w:pPr>
            <w:r>
              <w:rPr>
                <w:rFonts w:eastAsia="楷体_GB2312" w:hint="eastAsia"/>
                <w:b/>
                <w:bCs/>
                <w:sz w:val="32"/>
              </w:rPr>
              <w:t>务</w:t>
            </w:r>
          </w:p>
          <w:p w:rsidR="00000000" w:rsidRDefault="00264C1E">
            <w:pPr>
              <w:jc w:val="center"/>
              <w:rPr>
                <w:rFonts w:eastAsia="楷体_GB2312"/>
                <w:b/>
                <w:bCs/>
                <w:sz w:val="32"/>
              </w:rPr>
            </w:pPr>
            <w:r>
              <w:rPr>
                <w:rFonts w:eastAsia="楷体_GB2312" w:hint="eastAsia"/>
                <w:b/>
                <w:bCs/>
                <w:sz w:val="32"/>
              </w:rPr>
              <w:t>活</w:t>
            </w:r>
          </w:p>
          <w:p w:rsidR="00000000" w:rsidRDefault="00264C1E">
            <w:pPr>
              <w:jc w:val="center"/>
              <w:rPr>
                <w:rFonts w:eastAsia="楷体_GB2312"/>
                <w:b/>
                <w:bCs/>
                <w:sz w:val="32"/>
              </w:rPr>
            </w:pPr>
            <w:r>
              <w:rPr>
                <w:rFonts w:eastAsia="楷体_GB2312" w:hint="eastAsia"/>
                <w:b/>
                <w:bCs/>
                <w:sz w:val="32"/>
              </w:rPr>
              <w:t>动</w:t>
            </w:r>
          </w:p>
          <w:p w:rsidR="00000000" w:rsidRDefault="00264C1E">
            <w:pPr>
              <w:jc w:val="center"/>
              <w:rPr>
                <w:rFonts w:eastAsia="楷体_GB2312"/>
                <w:b/>
                <w:bCs/>
                <w:sz w:val="32"/>
              </w:rPr>
            </w:pPr>
            <w:r>
              <w:rPr>
                <w:rFonts w:eastAsia="楷体_GB2312" w:hint="eastAsia"/>
                <w:b/>
                <w:bCs/>
                <w:sz w:val="32"/>
              </w:rPr>
              <w:t>情</w:t>
            </w:r>
          </w:p>
          <w:p w:rsidR="00000000" w:rsidRDefault="00264C1E">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264C1E">
            <w:pPr>
              <w:autoSpaceDE w:val="0"/>
              <w:autoSpaceDN w:val="0"/>
              <w:adjustRightInd w:val="0"/>
              <w:snapToGrid w:val="0"/>
              <w:spacing w:line="360" w:lineRule="auto"/>
              <w:rPr>
                <w:rStyle w:val="font71"/>
                <w:rFonts w:ascii="楷体_GB2312"/>
              </w:rPr>
            </w:pPr>
            <w:r>
              <w:rPr>
                <w:rStyle w:val="font71"/>
                <w:rFonts w:ascii="楷体_GB2312" w:hint="eastAsia"/>
              </w:rPr>
              <w:t>一、严格执行有关法律法规</w:t>
            </w:r>
            <w:r>
              <w:rPr>
                <w:rStyle w:val="font71"/>
                <w:rFonts w:ascii="楷体_GB2312" w:hint="eastAsia"/>
              </w:rPr>
              <w:t xml:space="preserve"> </w:t>
            </w:r>
            <w:r>
              <w:rPr>
                <w:rStyle w:val="font71"/>
                <w:rFonts w:ascii="楷体_GB2312" w:hint="eastAsia"/>
              </w:rPr>
              <w:t>根据《关于开展自然保护地内违法行为自查工作函》、《关于联合开展“绿盾</w:t>
            </w:r>
            <w:r>
              <w:rPr>
                <w:rStyle w:val="font71"/>
                <w:rFonts w:ascii="楷体_GB2312" w:hint="eastAsia"/>
              </w:rPr>
              <w:t>2022</w:t>
            </w:r>
            <w:r>
              <w:rPr>
                <w:rStyle w:val="font71"/>
                <w:rFonts w:ascii="楷体_GB2312" w:hint="eastAsia"/>
              </w:rPr>
              <w:t>”自然保护地强化监督工作的通知》、《</w:t>
            </w:r>
            <w:r>
              <w:rPr>
                <w:rStyle w:val="font71"/>
                <w:rFonts w:ascii="楷体_GB2312" w:hint="eastAsia"/>
              </w:rPr>
              <w:t>2023</w:t>
            </w:r>
            <w:r>
              <w:rPr>
                <w:rStyle w:val="font71"/>
                <w:rFonts w:ascii="楷体_GB2312" w:hint="eastAsia"/>
              </w:rPr>
              <w:t>年自然保护地检查》文件精神，先后多次开展自然保护区排查，经排查，截止到目前，都呼木柄扁桃自然保护区内未发现有任何生产经营设施，实验区内未发现有污染环境、破坏自然资源或自然景观的生产设施，自然保护区内有在建和拟建的采矿采砂、工矿企业、核心区缓冲区旅游设施等情况。</w:t>
            </w:r>
            <w:r>
              <w:rPr>
                <w:rStyle w:val="font71"/>
                <w:rFonts w:ascii="楷体_GB2312" w:hint="eastAsia"/>
              </w:rPr>
              <w:t xml:space="preserve"> </w:t>
            </w:r>
            <w:r>
              <w:rPr>
                <w:rStyle w:val="font71"/>
                <w:rFonts w:ascii="楷体_GB2312" w:hint="eastAsia"/>
              </w:rPr>
              <w:t>二、总规编制情况</w:t>
            </w:r>
            <w:r>
              <w:rPr>
                <w:rStyle w:val="font71"/>
                <w:rFonts w:ascii="楷体_GB2312" w:hint="eastAsia"/>
              </w:rPr>
              <w:t xml:space="preserve"> </w:t>
            </w:r>
            <w:r>
              <w:rPr>
                <w:rStyle w:val="font71"/>
                <w:rFonts w:ascii="楷体_GB2312" w:hint="eastAsia"/>
              </w:rPr>
              <w:t>苏尼特右旗林业和草原局于</w:t>
            </w:r>
            <w:r>
              <w:rPr>
                <w:rStyle w:val="font71"/>
                <w:rFonts w:ascii="楷体_GB2312" w:hint="eastAsia"/>
              </w:rPr>
              <w:t>2022</w:t>
            </w:r>
            <w:r>
              <w:rPr>
                <w:rStyle w:val="font71"/>
                <w:rFonts w:ascii="楷体_GB2312" w:hint="eastAsia"/>
              </w:rPr>
              <w:t>年</w:t>
            </w:r>
            <w:r>
              <w:rPr>
                <w:rStyle w:val="font71"/>
                <w:rFonts w:ascii="楷体_GB2312" w:hint="eastAsia"/>
              </w:rPr>
              <w:t>7</w:t>
            </w:r>
            <w:r>
              <w:rPr>
                <w:rStyle w:val="font71"/>
                <w:rFonts w:ascii="楷体_GB2312" w:hint="eastAsia"/>
              </w:rPr>
              <w:t>月开始编制内蒙古都呼木柄扁桃自治区级自然保护区</w:t>
            </w:r>
            <w:r>
              <w:rPr>
                <w:rStyle w:val="font71"/>
                <w:rFonts w:ascii="楷体_GB2312" w:hint="eastAsia"/>
              </w:rPr>
              <w:t>2022</w:t>
            </w:r>
            <w:r>
              <w:rPr>
                <w:rStyle w:val="font71"/>
                <w:rFonts w:ascii="楷体_GB2312" w:hint="eastAsia"/>
              </w:rPr>
              <w:t>年至</w:t>
            </w:r>
            <w:r>
              <w:rPr>
                <w:rStyle w:val="font71"/>
                <w:rFonts w:ascii="楷体_GB2312" w:hint="eastAsia"/>
              </w:rPr>
              <w:t>2031</w:t>
            </w:r>
            <w:r>
              <w:rPr>
                <w:rStyle w:val="font71"/>
                <w:rFonts w:ascii="楷体_GB2312" w:hint="eastAsia"/>
              </w:rPr>
              <w:t>年总体规划</w:t>
            </w:r>
            <w:r>
              <w:rPr>
                <w:rStyle w:val="font71"/>
                <w:rFonts w:ascii="楷体_GB2312" w:hint="eastAsia"/>
              </w:rPr>
              <w:t>，主要包括自然保护与管理规划、科研监测规划、科普宣教规划、防灾减灾规划、基础设施规划、社区共管规划、生态旅游规划等多项内容，截止到目前，已完成初步电子稿，等待自治区林草局启动审核。</w:t>
            </w:r>
            <w:r>
              <w:rPr>
                <w:rStyle w:val="font71"/>
                <w:rFonts w:ascii="楷体_GB2312" w:hint="eastAsia"/>
              </w:rPr>
              <w:t xml:space="preserve"> </w:t>
            </w:r>
            <w:r>
              <w:rPr>
                <w:rStyle w:val="font71"/>
                <w:rFonts w:ascii="楷体_GB2312" w:hint="eastAsia"/>
              </w:rPr>
              <w:t>三、开展优化整合成果报送工作</w:t>
            </w:r>
            <w:r>
              <w:rPr>
                <w:rStyle w:val="font71"/>
                <w:rFonts w:ascii="楷体_GB2312" w:hint="eastAsia"/>
              </w:rPr>
              <w:t xml:space="preserve"> 2020</w:t>
            </w:r>
            <w:r>
              <w:rPr>
                <w:rStyle w:val="font71"/>
                <w:rFonts w:ascii="楷体_GB2312" w:hint="eastAsia"/>
              </w:rPr>
              <w:t>年</w:t>
            </w:r>
            <w:r>
              <w:rPr>
                <w:rStyle w:val="font71"/>
                <w:rFonts w:ascii="楷体_GB2312" w:hint="eastAsia"/>
              </w:rPr>
              <w:t>4</w:t>
            </w:r>
            <w:r>
              <w:rPr>
                <w:rStyle w:val="font71"/>
                <w:rFonts w:ascii="楷体_GB2312" w:hint="eastAsia"/>
              </w:rPr>
              <w:lastRenderedPageBreak/>
              <w:t>月全区启动自然保护区优化整合工作，</w:t>
            </w:r>
            <w:r>
              <w:rPr>
                <w:rStyle w:val="font71"/>
                <w:rFonts w:ascii="楷体_GB2312" w:hint="eastAsia"/>
              </w:rPr>
              <w:t>2021</w:t>
            </w:r>
            <w:r>
              <w:rPr>
                <w:rStyle w:val="font71"/>
                <w:rFonts w:ascii="楷体_GB2312" w:hint="eastAsia"/>
              </w:rPr>
              <w:t>年</w:t>
            </w:r>
            <w:r>
              <w:rPr>
                <w:rStyle w:val="font71"/>
                <w:rFonts w:ascii="楷体_GB2312" w:hint="eastAsia"/>
              </w:rPr>
              <w:t>10</w:t>
            </w:r>
            <w:r>
              <w:rPr>
                <w:rStyle w:val="font71"/>
                <w:rFonts w:ascii="楷体_GB2312" w:hint="eastAsia"/>
              </w:rPr>
              <w:t>月完成，</w:t>
            </w:r>
            <w:r>
              <w:rPr>
                <w:rStyle w:val="font71"/>
                <w:rFonts w:ascii="楷体_GB2312" w:hint="eastAsia"/>
              </w:rPr>
              <w:t>2023</w:t>
            </w:r>
            <w:r>
              <w:rPr>
                <w:rStyle w:val="font71"/>
                <w:rFonts w:ascii="楷体_GB2312" w:hint="eastAsia"/>
              </w:rPr>
              <w:t>年</w:t>
            </w:r>
            <w:r>
              <w:rPr>
                <w:rStyle w:val="font71"/>
                <w:rFonts w:ascii="楷体_GB2312" w:hint="eastAsia"/>
              </w:rPr>
              <w:t>9</w:t>
            </w:r>
            <w:r>
              <w:rPr>
                <w:rStyle w:val="font71"/>
                <w:rFonts w:ascii="楷体_GB2312" w:hint="eastAsia"/>
              </w:rPr>
              <w:t>月，根据全区自然保护地优化整合工作组要求上报内蒙古都呼木柄扁桃自治区级自然保护区最终优化整合成果，现正等待国家审核。</w:t>
            </w:r>
            <w:r>
              <w:rPr>
                <w:rStyle w:val="font71"/>
                <w:rFonts w:ascii="楷体_GB2312" w:hint="eastAsia"/>
              </w:rPr>
              <w:t xml:space="preserve"> </w:t>
            </w:r>
          </w:p>
          <w:p w:rsidR="00000000" w:rsidRDefault="00264C1E">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264C1E">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264C1E">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264C1E">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264C1E">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264C1E">
            <w:pPr>
              <w:spacing w:line="0" w:lineRule="atLeast"/>
              <w:rPr>
                <w:rFonts w:eastAsia="楷体_GB2312"/>
                <w:b/>
                <w:bCs/>
                <w:sz w:val="32"/>
              </w:rPr>
            </w:pPr>
            <w:r>
              <w:rPr>
                <w:rFonts w:eastAsia="楷体_GB2312" w:hint="eastAsia"/>
                <w:b/>
                <w:bCs/>
                <w:sz w:val="32"/>
              </w:rPr>
              <w:lastRenderedPageBreak/>
              <w:t>接受捐赠</w:t>
            </w:r>
          </w:p>
          <w:p w:rsidR="00000000" w:rsidRDefault="00264C1E">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264C1E">
            <w:pPr>
              <w:jc w:val="left"/>
            </w:pPr>
            <w:r>
              <w:rPr>
                <w:rStyle w:val="font71"/>
                <w:rFonts w:ascii="楷体_GB2312" w:hint="eastAsia"/>
                <w:szCs w:val="28"/>
              </w:rPr>
              <w:t>无</w:t>
            </w:r>
          </w:p>
        </w:tc>
      </w:tr>
    </w:tbl>
    <w:p w:rsidR="00264C1E" w:rsidRDefault="00264C1E">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赵玉平</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15148533366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03</w:t>
      </w:r>
      <w:r>
        <w:rPr>
          <w:rStyle w:val="font61"/>
          <w:rFonts w:ascii="楷体_GB2312" w:hint="eastAsia"/>
          <w:b/>
          <w:bCs/>
          <w:sz w:val="28"/>
          <w:szCs w:val="28"/>
        </w:rPr>
        <w:t>月</w:t>
      </w:r>
      <w:r>
        <w:rPr>
          <w:rStyle w:val="font61"/>
          <w:rFonts w:ascii="楷体_GB2312" w:hint="eastAsia"/>
          <w:b/>
          <w:bCs/>
          <w:sz w:val="28"/>
          <w:szCs w:val="28"/>
        </w:rPr>
        <w:t>21</w:t>
      </w:r>
      <w:r>
        <w:rPr>
          <w:rStyle w:val="font61"/>
          <w:rFonts w:ascii="楷体_GB2312" w:hint="eastAsia"/>
          <w:b/>
          <w:bCs/>
          <w:sz w:val="28"/>
          <w:szCs w:val="28"/>
        </w:rPr>
        <w:t>日</w:t>
      </w:r>
    </w:p>
    <w:sectPr w:rsidR="00264C1E">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C1E" w:rsidRDefault="00264C1E" w:rsidP="00466191">
      <w:r>
        <w:separator/>
      </w:r>
    </w:p>
  </w:endnote>
  <w:endnote w:type="continuationSeparator" w:id="0">
    <w:p w:rsidR="00264C1E" w:rsidRDefault="00264C1E" w:rsidP="00466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C1E" w:rsidRDefault="00264C1E" w:rsidP="00466191">
      <w:r>
        <w:separator/>
      </w:r>
    </w:p>
  </w:footnote>
  <w:footnote w:type="continuationSeparator" w:id="0">
    <w:p w:rsidR="00264C1E" w:rsidRDefault="00264C1E" w:rsidP="00466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191"/>
    <w:rsid w:val="00264C1E"/>
    <w:rsid w:val="00466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Words>
  <Characters>986</Characters>
  <Application>Microsoft Office Word</Application>
  <DocSecurity>0</DocSecurity>
  <Lines>8</Lines>
  <Paragraphs>2</Paragraphs>
  <ScaleCrop>false</ScaleCrop>
  <Company>WwW.YlmF.CoM</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2024-03-22T08:13:00Z</dcterms:created>
  <dcterms:modified xsi:type="dcterms:W3CDTF">2024-03-22T08:13:00Z</dcterms:modified>
</cp:coreProperties>
</file>