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34CC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3B34CC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12152524MB18252742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3B34CC">
      <w:pPr>
        <w:jc w:val="right"/>
      </w:pPr>
    </w:p>
    <w:p w:rsidR="00000000" w:rsidRDefault="003B34CC">
      <w:pPr>
        <w:jc w:val="right"/>
      </w:pPr>
    </w:p>
    <w:p w:rsidR="00000000" w:rsidRDefault="003B34CC">
      <w:pPr>
        <w:jc w:val="right"/>
      </w:pPr>
    </w:p>
    <w:p w:rsidR="00000000" w:rsidRDefault="003B34CC">
      <w:pPr>
        <w:jc w:val="right"/>
      </w:pPr>
    </w:p>
    <w:p w:rsidR="00000000" w:rsidRDefault="003B34CC">
      <w:pPr>
        <w:jc w:val="right"/>
      </w:pPr>
    </w:p>
    <w:p w:rsidR="00000000" w:rsidRDefault="003B34CC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3B34CC">
      <w:pPr>
        <w:jc w:val="center"/>
        <w:rPr>
          <w:rFonts w:eastAsia="黑体"/>
          <w:b/>
          <w:bCs/>
          <w:spacing w:val="30"/>
        </w:rPr>
      </w:pPr>
    </w:p>
    <w:p w:rsidR="00000000" w:rsidRDefault="003B34CC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3B34CC">
      <w:pPr>
        <w:jc w:val="center"/>
        <w:rPr>
          <w:sz w:val="36"/>
        </w:rPr>
      </w:pPr>
    </w:p>
    <w:p w:rsidR="00000000" w:rsidRDefault="003B34CC">
      <w:pPr>
        <w:jc w:val="center"/>
        <w:rPr>
          <w:sz w:val="36"/>
        </w:rPr>
      </w:pPr>
    </w:p>
    <w:p w:rsidR="00000000" w:rsidRDefault="003B34CC">
      <w:pPr>
        <w:jc w:val="center"/>
        <w:rPr>
          <w:sz w:val="36"/>
        </w:rPr>
      </w:pPr>
    </w:p>
    <w:p w:rsidR="00000000" w:rsidRDefault="003B34CC">
      <w:pPr>
        <w:jc w:val="center"/>
        <w:rPr>
          <w:sz w:val="36"/>
        </w:rPr>
      </w:pPr>
    </w:p>
    <w:p w:rsidR="00000000" w:rsidRDefault="003B34CC">
      <w:pPr>
        <w:jc w:val="center"/>
        <w:rPr>
          <w:sz w:val="36"/>
        </w:rPr>
      </w:pPr>
    </w:p>
    <w:p w:rsidR="00000000" w:rsidRDefault="003B34CC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3B34CC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3B34CC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苏尼特右旗那仁宝力格幼儿园</w:t>
            </w:r>
          </w:p>
        </w:tc>
      </w:tr>
    </w:tbl>
    <w:p w:rsidR="00000000" w:rsidRDefault="003B34CC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3B34CC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3B34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3B34CC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3B34CC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3B34CC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3B34CC">
      <w:pPr>
        <w:jc w:val="center"/>
        <w:rPr>
          <w:rFonts w:hint="eastAsia"/>
          <w:u w:val="single"/>
        </w:rPr>
      </w:pPr>
    </w:p>
    <w:p w:rsidR="00000000" w:rsidRDefault="003B34CC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3B34CC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3B34CC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B34CC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苏尼特右旗那仁宝力格幼儿园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B34CC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宗旨：为学龄前儿童提供保育和教育服务。业务范围：幼儿教育、幼儿保育。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B34C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内蒙古锡林郭勒盟苏尼特右旗赛汉塔拉镇阿尔善街杭盖路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B34C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娜仁高娃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B34CC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29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B34CC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B34C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苏尼特右旗教育局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3B34CC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3B34CC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172.32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B34CC">
            <w:pPr>
              <w:jc w:val="center"/>
            </w:pPr>
            <w:r>
              <w:rPr>
                <w:rStyle w:val="font71"/>
                <w:sz w:val="32"/>
                <w:szCs w:val="32"/>
              </w:rPr>
              <w:t>1392.68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苏尼特右旗那仁宝力格幼儿园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B34CC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24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3B34CC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B34CC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年度登记事项无变更情况。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3B34C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3B34CC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34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在幼儿园全体老师的共同努力下，在学习与反思中，我园以新《纲要》的教育理念与精神的贯彻实施保教工作。一、营造学习氛围，加强教学研究充分发挥教师的主观能动性，继续认真学习《幼儿园指导纲要》，深入领会《幼儿园保育教育质量评估指南》精神，认真钻研《生长的力量》和《游戏、学习、发展》，分析、领悟教材内涵，逐步培养驾驭教材的能力。二、提升教研质量，大胆尝试课程改革，提高保教质量每周进行大教研活动，大胆进行幼儿园教育课程改革，积极探索自主游戏课程的新方法、新途径。教师角色转变，努力从传统教学形式向开放式转变，由教师知识的</w:t>
            </w:r>
            <w:r>
              <w:rPr>
                <w:rStyle w:val="font71"/>
                <w:rFonts w:ascii="楷体_GB2312" w:hint="eastAsia"/>
              </w:rPr>
              <w:t>传授向幼儿能力的培养转变。努力建构积极、有效的师幼互动式的活动形式。三、加强师资培训，提高教师专业素质坚持外学习内研究的培训方式，园内增加培训经费，全园一线教师和领导班子分别去杭州、北京、广州、沈阳、盐城、鄂尔多斯、呼和浩</w:t>
            </w:r>
            <w:r>
              <w:rPr>
                <w:rStyle w:val="font71"/>
                <w:rFonts w:ascii="楷体_GB2312" w:hint="eastAsia"/>
              </w:rPr>
              <w:lastRenderedPageBreak/>
              <w:t>特、参加跟岗培训、业务骨干培训、吸取各地区先进幼儿园的教学经验，课程理念，教学方式，不断提高我园教师的整体水平。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四、家长工作方面各班经过家访、家园联系册、班级微信群、电话等方式，发现问题及时与家长沟通，把家长们最关心的问题及时解答，得到了家长的好评。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3B34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</w:t>
            </w:r>
            <w:r>
              <w:rPr>
                <w:rFonts w:eastAsia="楷体_GB2312" w:hint="eastAsia"/>
                <w:b/>
                <w:bCs/>
                <w:sz w:val="32"/>
              </w:rPr>
              <w:t>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B34CC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B34C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3B34CC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3B34CC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3B34C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3B34CC" w:rsidRDefault="003B34CC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叶平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15144814419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07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3B34C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CC" w:rsidRDefault="003B34CC" w:rsidP="00DF61D6">
      <w:r>
        <w:separator/>
      </w:r>
    </w:p>
  </w:endnote>
  <w:endnote w:type="continuationSeparator" w:id="0">
    <w:p w:rsidR="003B34CC" w:rsidRDefault="003B34CC" w:rsidP="00DF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CC" w:rsidRDefault="003B34CC" w:rsidP="00DF61D6">
      <w:r>
        <w:separator/>
      </w:r>
    </w:p>
  </w:footnote>
  <w:footnote w:type="continuationSeparator" w:id="0">
    <w:p w:rsidR="003B34CC" w:rsidRDefault="003B34CC" w:rsidP="00DF6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1D6"/>
    <w:rsid w:val="003B34CC"/>
    <w:rsid w:val="00D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</Words>
  <Characters>905</Characters>
  <Application>Microsoft Office Word</Application>
  <DocSecurity>0</DocSecurity>
  <Lines>7</Lines>
  <Paragraphs>2</Paragraphs>
  <ScaleCrop>false</ScaleCrop>
  <Company>WwW.YlmF.CoM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2024-03-22T08:15:00Z</dcterms:created>
  <dcterms:modified xsi:type="dcterms:W3CDTF">2024-03-22T08:15:00Z</dcterms:modified>
</cp:coreProperties>
</file>