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35D38">
      <w:pPr>
        <w:wordWrap w:val="0"/>
        <w:jc w:val="right"/>
        <w:rPr>
          <w:rFonts w:ascii="楷体_GB2312" w:eastAsia="楷体_GB2312"/>
          <w:b/>
          <w:sz w:val="30"/>
        </w:rPr>
      </w:pPr>
      <w:r>
        <w:rPr>
          <w:rFonts w:ascii="楷体_GB2312" w:eastAsia="楷体_GB2312" w:hint="eastAsia"/>
          <w:b/>
          <w:sz w:val="30"/>
        </w:rPr>
        <w:t>统一社会信用代码</w:t>
      </w:r>
      <w:r>
        <w:rPr>
          <w:rFonts w:ascii="楷体_GB2312" w:eastAsia="楷体_GB2312" w:hint="eastAsia"/>
          <w:b/>
          <w:sz w:val="30"/>
        </w:rPr>
        <w:t xml:space="preserve">   </w:t>
      </w:r>
    </w:p>
    <w:p w:rsidR="00000000" w:rsidRDefault="00F35D38">
      <w:pPr>
        <w:wordWrap w:val="0"/>
        <w:jc w:val="right"/>
        <w:rPr>
          <w:rFonts w:eastAsia="楷体_GB2312" w:hint="eastAsia"/>
          <w:b/>
          <w:bCs/>
          <w:sz w:val="30"/>
        </w:rPr>
      </w:pPr>
      <w:r>
        <w:rPr>
          <w:rFonts w:eastAsia="楷体_GB2312"/>
          <w:b/>
          <w:bCs/>
          <w:sz w:val="30"/>
        </w:rPr>
        <w:t xml:space="preserve">   </w:t>
      </w:r>
      <w:r>
        <w:rPr>
          <w:rStyle w:val="font21"/>
          <w:b/>
          <w:bCs/>
          <w:szCs w:val="30"/>
        </w:rPr>
        <w:t>12152524011675572B</w:t>
      </w:r>
      <w:r>
        <w:rPr>
          <w:rFonts w:eastAsia="楷体_GB2312"/>
          <w:b/>
          <w:bCs/>
          <w:sz w:val="30"/>
        </w:rPr>
        <w:t xml:space="preserve">   </w:t>
      </w:r>
    </w:p>
    <w:p w:rsidR="00000000" w:rsidRDefault="00F35D38">
      <w:pPr>
        <w:jc w:val="right"/>
      </w:pPr>
    </w:p>
    <w:p w:rsidR="00000000" w:rsidRDefault="00F35D38">
      <w:pPr>
        <w:jc w:val="right"/>
      </w:pPr>
    </w:p>
    <w:p w:rsidR="00000000" w:rsidRDefault="00F35D38">
      <w:pPr>
        <w:jc w:val="right"/>
      </w:pPr>
    </w:p>
    <w:p w:rsidR="00000000" w:rsidRDefault="00F35D38">
      <w:pPr>
        <w:jc w:val="right"/>
      </w:pPr>
    </w:p>
    <w:p w:rsidR="00000000" w:rsidRDefault="00F35D38">
      <w:pPr>
        <w:jc w:val="right"/>
      </w:pPr>
    </w:p>
    <w:p w:rsidR="00000000" w:rsidRDefault="00F35D38">
      <w:pPr>
        <w:jc w:val="center"/>
        <w:rPr>
          <w:rFonts w:eastAsia="黑体"/>
          <w:b/>
          <w:bCs/>
          <w:spacing w:val="40"/>
          <w:sz w:val="52"/>
        </w:rPr>
      </w:pPr>
      <w:r>
        <w:rPr>
          <w:rFonts w:eastAsia="黑体" w:hAnsi="黑体" w:hint="eastAsia"/>
          <w:b/>
          <w:bCs/>
          <w:spacing w:val="40"/>
          <w:sz w:val="52"/>
        </w:rPr>
        <w:t>事业单位法人年度报告书</w:t>
      </w:r>
    </w:p>
    <w:p w:rsidR="00000000" w:rsidRDefault="00F35D38">
      <w:pPr>
        <w:jc w:val="center"/>
        <w:rPr>
          <w:rFonts w:eastAsia="黑体"/>
          <w:b/>
          <w:bCs/>
          <w:spacing w:val="30"/>
        </w:rPr>
      </w:pPr>
    </w:p>
    <w:p w:rsidR="00000000" w:rsidRDefault="00F35D38">
      <w:pPr>
        <w:jc w:val="center"/>
        <w:rPr>
          <w:rFonts w:eastAsia="楷体_GB2312"/>
          <w:b/>
          <w:bCs/>
          <w:spacing w:val="30"/>
          <w:sz w:val="36"/>
        </w:rPr>
      </w:pPr>
      <w:r>
        <w:rPr>
          <w:rFonts w:eastAsia="楷体_GB2312" w:hint="eastAsia"/>
          <w:b/>
          <w:bCs/>
          <w:spacing w:val="30"/>
          <w:sz w:val="36"/>
        </w:rPr>
        <w:t>（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Style w:val="font21"/>
          <w:b/>
          <w:bCs/>
          <w:szCs w:val="30"/>
        </w:rPr>
        <w:t>2023</w:t>
      </w:r>
      <w:r>
        <w:rPr>
          <w:rFonts w:eastAsia="楷体_GB2312"/>
          <w:b/>
          <w:bCs/>
          <w:spacing w:val="30"/>
          <w:sz w:val="36"/>
        </w:rPr>
        <w:t xml:space="preserve">  </w:t>
      </w:r>
      <w:r>
        <w:rPr>
          <w:rFonts w:eastAsia="楷体_GB2312" w:hint="eastAsia"/>
          <w:b/>
          <w:bCs/>
          <w:spacing w:val="30"/>
          <w:sz w:val="36"/>
        </w:rPr>
        <w:t>年度）</w:t>
      </w:r>
    </w:p>
    <w:p w:rsidR="00000000" w:rsidRDefault="00F35D38">
      <w:pPr>
        <w:jc w:val="center"/>
        <w:rPr>
          <w:sz w:val="36"/>
        </w:rPr>
      </w:pPr>
    </w:p>
    <w:p w:rsidR="00000000" w:rsidRDefault="00F35D38">
      <w:pPr>
        <w:jc w:val="center"/>
        <w:rPr>
          <w:sz w:val="36"/>
        </w:rPr>
      </w:pPr>
    </w:p>
    <w:p w:rsidR="00000000" w:rsidRDefault="00F35D38">
      <w:pPr>
        <w:jc w:val="center"/>
        <w:rPr>
          <w:sz w:val="36"/>
        </w:rPr>
      </w:pPr>
    </w:p>
    <w:p w:rsidR="00000000" w:rsidRDefault="00F35D38">
      <w:pPr>
        <w:jc w:val="center"/>
        <w:rPr>
          <w:sz w:val="36"/>
        </w:rPr>
      </w:pPr>
    </w:p>
    <w:p w:rsidR="00000000" w:rsidRDefault="00F35D38">
      <w:pPr>
        <w:jc w:val="center"/>
        <w:rPr>
          <w:sz w:val="36"/>
        </w:rPr>
      </w:pPr>
    </w:p>
    <w:p w:rsidR="00000000" w:rsidRDefault="00F35D38">
      <w:pPr>
        <w:jc w:val="center"/>
        <w:rPr>
          <w:sz w:val="36"/>
        </w:rPr>
      </w:pPr>
    </w:p>
    <w:tbl>
      <w:tblPr>
        <w:tblW w:w="0" w:type="auto"/>
        <w:jc w:val="center"/>
        <w:tblInd w:w="-139" w:type="dxa"/>
        <w:tblLook w:val="04A0"/>
      </w:tblPr>
      <w:tblGrid>
        <w:gridCol w:w="2405"/>
        <w:gridCol w:w="5294"/>
      </w:tblGrid>
      <w:tr w:rsidR="00000000">
        <w:trPr>
          <w:trHeight w:val="615"/>
          <w:jc w:val="center"/>
        </w:trPr>
        <w:tc>
          <w:tcPr>
            <w:tcW w:w="2405" w:type="dxa"/>
            <w:vAlign w:val="bottom"/>
            <w:hideMark/>
          </w:tcPr>
          <w:p w:rsidR="00000000" w:rsidRDefault="00F35D3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单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名</w:t>
            </w:r>
            <w:r>
              <w:rPr>
                <w:rStyle w:val="font51"/>
                <w:rFonts w:hint="default"/>
                <w:b/>
                <w:bCs/>
              </w:rPr>
              <w:t xml:space="preserve"> </w:t>
            </w:r>
            <w:r>
              <w:rPr>
                <w:rStyle w:val="font51"/>
                <w:rFonts w:hint="default"/>
                <w:b/>
                <w:bCs/>
              </w:rPr>
              <w:t>称</w:t>
            </w:r>
          </w:p>
        </w:tc>
        <w:tc>
          <w:tcPr>
            <w:tcW w:w="52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000000" w:rsidRDefault="00F35D38">
            <w:pPr>
              <w:jc w:val="center"/>
              <w:rPr>
                <w:rStyle w:val="font61"/>
                <w:rFonts w:ascii="楷体_GB2312"/>
              </w:rPr>
            </w:pPr>
            <w:r>
              <w:rPr>
                <w:rStyle w:val="font61"/>
                <w:rFonts w:ascii="楷体_GB2312" w:hint="eastAsia"/>
              </w:rPr>
              <w:t>苏尼特右旗档案史志馆</w:t>
            </w:r>
          </w:p>
        </w:tc>
      </w:tr>
    </w:tbl>
    <w:p w:rsidR="00000000" w:rsidRDefault="00F35D38">
      <w:pPr>
        <w:rPr>
          <w:rFonts w:ascii="黑体" w:eastAsia="黑体" w:hAnsi="黑体"/>
          <w:b/>
          <w:bCs/>
          <w:sz w:val="24"/>
          <w:u w:val="single"/>
        </w:rPr>
      </w:pPr>
    </w:p>
    <w:tbl>
      <w:tblPr>
        <w:tblW w:w="0" w:type="auto"/>
        <w:jc w:val="center"/>
        <w:tblInd w:w="-59" w:type="dxa"/>
        <w:tblLook w:val="04A0"/>
      </w:tblPr>
      <w:tblGrid>
        <w:gridCol w:w="2365"/>
        <w:gridCol w:w="5254"/>
      </w:tblGrid>
      <w:tr w:rsidR="00000000">
        <w:trPr>
          <w:trHeight w:val="615"/>
          <w:jc w:val="center"/>
        </w:trPr>
        <w:tc>
          <w:tcPr>
            <w:tcW w:w="2365" w:type="dxa"/>
            <w:vAlign w:val="bottom"/>
            <w:hideMark/>
          </w:tcPr>
          <w:p w:rsidR="00000000" w:rsidRDefault="00F35D38">
            <w:pPr>
              <w:jc w:val="distribute"/>
            </w:pPr>
            <w:r>
              <w:rPr>
                <w:rStyle w:val="font51"/>
                <w:rFonts w:hint="default"/>
                <w:b/>
                <w:bCs/>
              </w:rPr>
              <w:t>法</w:t>
            </w:r>
            <w:r>
              <w:rPr>
                <w:rStyle w:val="font51"/>
                <w:rFonts w:hint="default"/>
                <w:b/>
                <w:bCs/>
                <w:spacing w:val="30"/>
              </w:rPr>
              <w:t>定代表</w:t>
            </w:r>
            <w:r>
              <w:rPr>
                <w:rStyle w:val="font51"/>
                <w:rFonts w:hint="default"/>
                <w:b/>
                <w:bCs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000000" w:rsidRDefault="00F35D38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000000" w:rsidRDefault="00F35D38">
      <w:pPr>
        <w:ind w:firstLineChars="300" w:firstLine="723"/>
        <w:rPr>
          <w:rFonts w:ascii="黑体" w:eastAsia="黑体" w:hAnsi="黑体" w:hint="eastAsia"/>
          <w:b/>
          <w:bCs/>
          <w:sz w:val="24"/>
          <w:u w:val="single"/>
        </w:rPr>
      </w:pPr>
    </w:p>
    <w:p w:rsidR="00000000" w:rsidRDefault="00F35D3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F35D38">
      <w:pPr>
        <w:jc w:val="center"/>
        <w:rPr>
          <w:rFonts w:ascii="黑体" w:eastAsia="黑体" w:hAnsi="黑体" w:hint="eastAsia"/>
          <w:b/>
          <w:bCs/>
          <w:sz w:val="30"/>
          <w:u w:val="single"/>
        </w:rPr>
      </w:pPr>
    </w:p>
    <w:p w:rsidR="00000000" w:rsidRDefault="00F35D38">
      <w:pPr>
        <w:jc w:val="center"/>
        <w:rPr>
          <w:rFonts w:hint="eastAsia"/>
          <w:u w:val="single"/>
        </w:rPr>
      </w:pPr>
    </w:p>
    <w:p w:rsidR="00000000" w:rsidRDefault="00F35D38">
      <w:pPr>
        <w:jc w:val="center"/>
        <w:rPr>
          <w:rFonts w:eastAsia="楷体_GB2312"/>
          <w:b/>
          <w:bCs/>
          <w:sz w:val="32"/>
        </w:rPr>
      </w:pPr>
      <w:r>
        <w:rPr>
          <w:rFonts w:eastAsia="楷体_GB2312" w:hint="eastAsia"/>
          <w:b/>
          <w:bCs/>
          <w:sz w:val="32"/>
        </w:rPr>
        <w:t>国家事业单位登记管理局制</w:t>
      </w:r>
    </w:p>
    <w:p w:rsidR="00000000" w:rsidRDefault="00F35D38">
      <w:pPr>
        <w:jc w:val="center"/>
        <w:rPr>
          <w:rFonts w:eastAsia="楷体_GB2312"/>
          <w:b/>
          <w:bCs/>
          <w:sz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031"/>
        <w:gridCol w:w="1796"/>
        <w:gridCol w:w="1701"/>
        <w:gridCol w:w="2452"/>
      </w:tblGrid>
      <w:tr w:rsidR="00000000">
        <w:trPr>
          <w:cantSplit/>
          <w:trHeight w:val="821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《事业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法人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证书》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登载</w:t>
            </w:r>
          </w:p>
          <w:p w:rsidR="00000000" w:rsidRDefault="00F35D3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事项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35D38">
            <w:pPr>
              <w:spacing w:line="320" w:lineRule="exact"/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苏尼特右旗档案史志馆</w:t>
            </w:r>
          </w:p>
        </w:tc>
      </w:tr>
      <w:tr w:rsidR="00000000">
        <w:trPr>
          <w:cantSplit/>
          <w:trHeight w:val="3937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宗旨和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35D3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收藏各类档案，向社会提供档案资料。档案的收集整理，档案的利用档案的管理，档案的信息开发与管理。</w:t>
            </w:r>
          </w:p>
        </w:tc>
      </w:tr>
      <w:tr w:rsidR="00000000">
        <w:trPr>
          <w:cantSplit/>
          <w:trHeight w:val="1253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住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35D3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苏尼特右旗赛汉塔拉镇</w:t>
            </w:r>
          </w:p>
        </w:tc>
      </w:tr>
      <w:tr w:rsidR="00000000">
        <w:trPr>
          <w:cantSplit/>
          <w:trHeight w:val="885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35D3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都布新</w:t>
            </w:r>
          </w:p>
        </w:tc>
      </w:tr>
      <w:tr w:rsidR="00000000">
        <w:trPr>
          <w:cantSplit/>
          <w:trHeight w:val="786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35D38">
            <w:pPr>
              <w:jc w:val="lef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62</w:t>
            </w:r>
            <w:r>
              <w:rPr>
                <w:rStyle w:val="font71"/>
                <w:rFonts w:ascii="楷体_GB2312" w:hint="eastAsia"/>
                <w:szCs w:val="28"/>
              </w:rPr>
              <w:t>（万元）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35D38">
            <w:pPr>
              <w:jc w:val="left"/>
              <w:rPr>
                <w:rStyle w:val="font61"/>
                <w:szCs w:val="32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财政补助</w:t>
            </w:r>
          </w:p>
        </w:tc>
      </w:tr>
      <w:tr w:rsidR="00000000">
        <w:trPr>
          <w:cantSplit/>
          <w:trHeight w:val="824"/>
        </w:trPr>
        <w:tc>
          <w:tcPr>
            <w:tcW w:w="156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35D3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中国共产党苏尼特右旗委员会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资产</w:t>
            </w:r>
          </w:p>
          <w:p w:rsidR="00000000" w:rsidRDefault="00F35D38">
            <w:pPr>
              <w:widowControl/>
              <w:jc w:val="center"/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损益</w:t>
            </w:r>
          </w:p>
          <w:p w:rsidR="00000000" w:rsidRDefault="00F35D38">
            <w:pPr>
              <w:widowControl/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净资产合计（所有者权益合计）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Style w:val="font61"/>
              </w:rPr>
            </w:pPr>
            <w:r>
              <w:rPr>
                <w:rStyle w:val="font61"/>
                <w:rFonts w:hint="eastAsia"/>
              </w:rPr>
              <w:t>年末数（万元）</w:t>
            </w:r>
          </w:p>
        </w:tc>
      </w:tr>
      <w:tr w:rsidR="00000000">
        <w:trPr>
          <w:cantSplit/>
          <w:trHeight w:val="818"/>
        </w:trPr>
        <w:tc>
          <w:tcPr>
            <w:tcW w:w="156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widowControl/>
              <w:jc w:val="left"/>
              <w:rPr>
                <w:rFonts w:eastAsia="楷体_GB2312"/>
                <w:sz w:val="32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Style w:val="font61"/>
              </w:rPr>
            </w:pPr>
            <w:r>
              <w:rPr>
                <w:rStyle w:val="font61"/>
              </w:rPr>
              <w:t>147.62</w:t>
            </w:r>
          </w:p>
        </w:tc>
        <w:tc>
          <w:tcPr>
            <w:tcW w:w="4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35D38">
            <w:pPr>
              <w:jc w:val="center"/>
            </w:pPr>
            <w:r>
              <w:rPr>
                <w:rStyle w:val="font71"/>
                <w:sz w:val="32"/>
                <w:szCs w:val="32"/>
              </w:rPr>
              <w:t>347.92</w:t>
            </w:r>
          </w:p>
        </w:tc>
      </w:tr>
      <w:tr w:rsidR="00000000">
        <w:trPr>
          <w:trHeight w:val="797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ascii="楷体_GB2312" w:eastAsia="楷体_GB2312"/>
                <w:b/>
                <w:bCs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苏尼特右旗档案史志馆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.</w:t>
            </w:r>
            <w:r>
              <w:rPr>
                <w:rFonts w:ascii="楷体_GB2312" w:eastAsia="楷体_GB2312" w:hint="eastAsia"/>
                <w:b/>
                <w:bCs/>
                <w:sz w:val="32"/>
              </w:rPr>
              <w:t>公益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ascii="楷体_GB2312" w:eastAsia="楷体_GB2312"/>
                <w:sz w:val="32"/>
              </w:rPr>
            </w:pPr>
            <w:r>
              <w:rPr>
                <w:rFonts w:ascii="楷体_GB2312" w:eastAsia="楷体_GB2312" w:hint="eastAsia"/>
                <w:b/>
                <w:bCs/>
                <w:sz w:val="32"/>
              </w:rPr>
              <w:t>从业人数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00000" w:rsidRDefault="00F35D38">
            <w:pPr>
              <w:spacing w:line="0" w:lineRule="atLeast"/>
              <w:jc w:val="left"/>
              <w:rPr>
                <w:rFonts w:ascii="楷体_GB2312" w:eastAsia="楷体_GB2312"/>
                <w:sz w:val="32"/>
              </w:rPr>
            </w:pPr>
            <w:r>
              <w:rPr>
                <w:rStyle w:val="font61"/>
              </w:rPr>
              <w:t>8</w:t>
            </w:r>
          </w:p>
        </w:tc>
      </w:tr>
      <w:tr w:rsidR="00000000">
        <w:trPr>
          <w:cantSplit/>
          <w:trHeight w:val="649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对《条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例》和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实施细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则有关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变更登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记规定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的执行</w:t>
            </w:r>
          </w:p>
          <w:p w:rsidR="00000000" w:rsidRDefault="00F35D38">
            <w:pPr>
              <w:jc w:val="center"/>
              <w:rPr>
                <w:rFonts w:eastAsia="楷体_GB2312"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35D3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  <w:szCs w:val="28"/>
              </w:rPr>
              <w:t>本年度登记事项无变更情况。</w:t>
            </w:r>
          </w:p>
        </w:tc>
      </w:tr>
      <w:tr w:rsidR="00000000">
        <w:trPr>
          <w:trHeight w:val="735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开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展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业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务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活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动</w:t>
            </w:r>
          </w:p>
          <w:p w:rsidR="00000000" w:rsidRDefault="00F35D38">
            <w:pPr>
              <w:jc w:val="center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</w:p>
          <w:p w:rsidR="00000000" w:rsidRDefault="00F35D38">
            <w:pPr>
              <w:jc w:val="center"/>
              <w:rPr>
                <w:u w:val="single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F35D3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年度我单位在旗委的领导下，认真贯彻《事业单位登记管理暂行条例》及其实施细则，按照核准登记的业务范围开展活动，主要做了一下几个范围的工作。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（一）工作完成情况</w:t>
            </w:r>
            <w:r>
              <w:rPr>
                <w:rStyle w:val="font71"/>
                <w:rFonts w:ascii="楷体_GB2312" w:hint="eastAsia"/>
              </w:rPr>
              <w:t xml:space="preserve"> 1.</w:t>
            </w:r>
            <w:r>
              <w:rPr>
                <w:rStyle w:val="font71"/>
                <w:rFonts w:ascii="楷体_GB2312" w:hint="eastAsia"/>
              </w:rPr>
              <w:t>今年，参加年鉴各类培训学习</w:t>
            </w:r>
            <w:r>
              <w:rPr>
                <w:rStyle w:val="font71"/>
                <w:rFonts w:ascii="楷体_GB2312" w:hint="eastAsia"/>
              </w:rPr>
              <w:t>4</w:t>
            </w:r>
            <w:r>
              <w:rPr>
                <w:rStyle w:val="font71"/>
                <w:rFonts w:ascii="楷体_GB2312" w:hint="eastAsia"/>
              </w:rPr>
              <w:t>次，通过学习借鉴先进地区先进经验，互相研学交流，推动我旗档案年鉴事业高质量发展。</w:t>
            </w:r>
            <w:r>
              <w:rPr>
                <w:rStyle w:val="font71"/>
                <w:rFonts w:ascii="楷体_GB2312" w:hint="eastAsia"/>
              </w:rPr>
              <w:t xml:space="preserve"> 2.2023</w:t>
            </w:r>
            <w:r>
              <w:rPr>
                <w:rStyle w:val="font71"/>
                <w:rFonts w:ascii="楷体_GB2312" w:hint="eastAsia"/>
              </w:rPr>
              <w:t>年，全旗共开展各类档案工作辅导</w:t>
            </w:r>
            <w:r>
              <w:rPr>
                <w:rStyle w:val="font71"/>
                <w:rFonts w:ascii="楷体_GB2312" w:hint="eastAsia"/>
              </w:rPr>
              <w:t>20</w:t>
            </w:r>
            <w:r>
              <w:rPr>
                <w:rStyle w:val="font71"/>
                <w:rFonts w:ascii="楷体_GB2312" w:hint="eastAsia"/>
              </w:rPr>
              <w:t>余家单位，</w:t>
            </w:r>
            <w:r>
              <w:rPr>
                <w:rStyle w:val="font71"/>
                <w:rFonts w:ascii="楷体_GB2312" w:hint="eastAsia"/>
              </w:rPr>
              <w:t>90</w:t>
            </w:r>
            <w:r>
              <w:rPr>
                <w:rStyle w:val="font71"/>
                <w:rFonts w:ascii="楷体_GB2312" w:hint="eastAsia"/>
              </w:rPr>
              <w:t>余次，累计指导整理档案</w:t>
            </w:r>
            <w:r>
              <w:rPr>
                <w:rStyle w:val="font71"/>
                <w:rFonts w:ascii="楷体_GB2312" w:hint="eastAsia"/>
              </w:rPr>
              <w:t>46000</w:t>
            </w:r>
            <w:r>
              <w:rPr>
                <w:rStyle w:val="font71"/>
                <w:rFonts w:ascii="楷体_GB2312" w:hint="eastAsia"/>
              </w:rPr>
              <w:t>余件。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加强年鉴史志深加工，增强服务人民实举措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一是年鉴编纂不断线。旗档案史志馆按上级统一部署，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年，完成《内蒙古年鉴（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）》旗情概况征稿审稿报送工作，出版完成《苏尼特右旗年鉴（</w:t>
            </w:r>
            <w:r>
              <w:rPr>
                <w:rStyle w:val="font71"/>
                <w:rFonts w:ascii="楷体_GB2312" w:hint="eastAsia"/>
              </w:rPr>
              <w:t>2022</w:t>
            </w:r>
            <w:r>
              <w:rPr>
                <w:rStyle w:val="font71"/>
                <w:rFonts w:ascii="楷体_GB2312" w:hint="eastAsia"/>
              </w:rPr>
              <w:t>）》。《苏尼特右旗年鉴（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）》《党史大事记》完成率达</w:t>
            </w:r>
            <w:r>
              <w:rPr>
                <w:rStyle w:val="font71"/>
                <w:rFonts w:ascii="楷体_GB2312" w:hint="eastAsia"/>
              </w:rPr>
              <w:t>90%</w:t>
            </w:r>
            <w:r>
              <w:rPr>
                <w:rStyle w:val="font71"/>
                <w:rFonts w:ascii="楷体_GB2312" w:hint="eastAsia"/>
              </w:rPr>
              <w:t>，目前已交由第三方公司进行下一步整理出版。旗档案史志馆实现从</w:t>
            </w:r>
            <w:r>
              <w:rPr>
                <w:rStyle w:val="font71"/>
                <w:rFonts w:ascii="楷体_GB2312" w:hint="eastAsia"/>
              </w:rPr>
              <w:t>2017</w:t>
            </w:r>
            <w:r>
              <w:rPr>
                <w:rStyle w:val="font71"/>
                <w:rFonts w:ascii="楷体_GB2312" w:hint="eastAsia"/>
              </w:rPr>
              <w:t>卷至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卷共七卷年鉴编纂不缺环、不断线，为广大读者和社会各界查询苏尼特右旗史志资料</w:t>
            </w:r>
            <w:r>
              <w:rPr>
                <w:rStyle w:val="font71"/>
                <w:rFonts w:ascii="楷体_GB2312" w:hint="eastAsia"/>
              </w:rPr>
              <w:lastRenderedPageBreak/>
              <w:t>提供系统完备而权威翔实的地情百科资料库，同时为编织形成连续完整的年鉴链条持续努力。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  <w:r>
              <w:rPr>
                <w:rStyle w:val="font71"/>
                <w:rFonts w:ascii="楷体_GB2312" w:hint="eastAsia"/>
              </w:rPr>
              <w:t>二是服务人民有作为。</w:t>
            </w:r>
            <w:r>
              <w:rPr>
                <w:rStyle w:val="font71"/>
                <w:rFonts w:ascii="楷体_GB2312" w:hint="eastAsia"/>
              </w:rPr>
              <w:t>为充分发挥地方志书“存史、资政、育人”的作用，旗档案史志馆高度重视方志文化“六进”推广活动。</w:t>
            </w:r>
            <w:r>
              <w:rPr>
                <w:rStyle w:val="font71"/>
                <w:rFonts w:ascii="楷体_GB2312" w:hint="eastAsia"/>
              </w:rPr>
              <w:t>2023</w:t>
            </w:r>
            <w:r>
              <w:rPr>
                <w:rStyle w:val="font71"/>
                <w:rFonts w:ascii="楷体_GB2312" w:hint="eastAsia"/>
              </w:rPr>
              <w:t>年，深入旗编办、旗工会、旗供电局、桑宝拉格苏木、电力社区、巴彦宝拉格、悦读书城开展</w:t>
            </w:r>
            <w:r>
              <w:rPr>
                <w:rStyle w:val="font71"/>
                <w:rFonts w:ascii="楷体_GB2312" w:hint="eastAsia"/>
              </w:rPr>
              <w:t>7</w:t>
            </w:r>
            <w:r>
              <w:rPr>
                <w:rStyle w:val="font71"/>
                <w:rFonts w:ascii="楷体_GB2312" w:hint="eastAsia"/>
              </w:rPr>
              <w:t>次方志文化推广活动，赠送志书年鉴</w:t>
            </w:r>
            <w:r>
              <w:rPr>
                <w:rStyle w:val="font71"/>
                <w:rFonts w:ascii="楷体_GB2312" w:hint="eastAsia"/>
              </w:rPr>
              <w:t>100</w:t>
            </w:r>
            <w:r>
              <w:rPr>
                <w:rStyle w:val="font71"/>
                <w:rFonts w:ascii="楷体_GB2312" w:hint="eastAsia"/>
              </w:rPr>
              <w:t>余册。加强与盟内各旗县、盟外县市区志书年鉴交流互鉴工作，先后向盟史志研究室、正蓝旗等地送出《苏尼特右旗志》《苏尼特右旗年鉴》（</w:t>
            </w:r>
            <w:r>
              <w:rPr>
                <w:rStyle w:val="font71"/>
                <w:rFonts w:ascii="楷体_GB2312" w:hint="eastAsia"/>
              </w:rPr>
              <w:t>2017</w:t>
            </w:r>
            <w:r>
              <w:rPr>
                <w:rStyle w:val="font71"/>
                <w:rFonts w:ascii="楷体_GB2312" w:hint="eastAsia"/>
              </w:rPr>
              <w:t>—</w:t>
            </w:r>
            <w:r>
              <w:rPr>
                <w:rStyle w:val="font71"/>
                <w:rFonts w:ascii="楷体_GB2312" w:hint="eastAsia"/>
              </w:rPr>
              <w:t>2020</w:t>
            </w:r>
            <w:r>
              <w:rPr>
                <w:rStyle w:val="font71"/>
                <w:rFonts w:ascii="楷体_GB2312" w:hint="eastAsia"/>
              </w:rPr>
              <w:t>卷）</w:t>
            </w:r>
            <w:r>
              <w:rPr>
                <w:rStyle w:val="font71"/>
                <w:rFonts w:ascii="楷体_GB2312" w:hint="eastAsia"/>
              </w:rPr>
              <w:t>50</w:t>
            </w:r>
            <w:r>
              <w:rPr>
                <w:rStyle w:val="font71"/>
                <w:rFonts w:ascii="楷体_GB2312" w:hint="eastAsia"/>
              </w:rPr>
              <w:t>余本。陆续接收各单位和各界人士捐赠的《奋进新时代：锡林郭勒报告文学集》《吉鲁根苏尼特》丛书、《白音吉日嘎拉作品集》《昌图锡力嘎查回忆录》《</w:t>
            </w:r>
            <w:r>
              <w:rPr>
                <w:rStyle w:val="font71"/>
                <w:rFonts w:ascii="楷体_GB2312" w:hint="eastAsia"/>
              </w:rPr>
              <w:t>能乃扎布文集》等出版书籍</w:t>
            </w:r>
            <w:r>
              <w:rPr>
                <w:rStyle w:val="font71"/>
                <w:rFonts w:ascii="楷体_GB2312" w:hint="eastAsia"/>
              </w:rPr>
              <w:t>50</w:t>
            </w:r>
            <w:r>
              <w:rPr>
                <w:rStyle w:val="font71"/>
                <w:rFonts w:ascii="楷体_GB2312" w:hint="eastAsia"/>
              </w:rPr>
              <w:t>余册，书籍的接收有效丰富馆藏书籍种类，为更多人实地调查研究提供大量翔实的各类图书资料。</w:t>
            </w:r>
            <w:r>
              <w:rPr>
                <w:rStyle w:val="font71"/>
                <w:rFonts w:ascii="楷体_GB2312" w:hint="eastAsia"/>
              </w:rPr>
              <w:t xml:space="preserve"> </w:t>
            </w:r>
          </w:p>
          <w:p w:rsidR="00000000" w:rsidRDefault="00F35D38"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Style w:val="font71"/>
                <w:rFonts w:ascii="楷体_GB2312"/>
              </w:rPr>
            </w:pPr>
          </w:p>
        </w:tc>
      </w:tr>
      <w:tr w:rsidR="00000000">
        <w:trPr>
          <w:cantSplit/>
          <w:trHeight w:val="82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35D38">
            <w:pPr>
              <w:spacing w:line="320" w:lineRule="exact"/>
              <w:rPr>
                <w:rStyle w:val="font71"/>
                <w:rFonts w:ascii="楷体_GB2312"/>
                <w:szCs w:val="28"/>
              </w:rPr>
            </w:pPr>
            <w:r>
              <w:rPr>
                <w:rStyle w:val="font71"/>
                <w:rFonts w:ascii="楷体_GB2312" w:hint="eastAsia"/>
              </w:rPr>
              <w:t>无</w:t>
            </w:r>
          </w:p>
        </w:tc>
      </w:tr>
      <w:tr w:rsidR="00000000">
        <w:trPr>
          <w:trHeight w:val="2374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绩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效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</w:rPr>
              <w:t xml:space="preserve">   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000000" w:rsidRDefault="00F35D3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  <w:tr w:rsidR="00000000">
        <w:trPr>
          <w:trHeight w:val="2645"/>
        </w:trPr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00000" w:rsidRDefault="00F35D38">
            <w:pPr>
              <w:spacing w:line="0" w:lineRule="atLeast"/>
              <w:rPr>
                <w:rFonts w:eastAsia="楷体_GB2312"/>
                <w:b/>
                <w:bCs/>
                <w:sz w:val="32"/>
              </w:rPr>
            </w:pPr>
            <w:r>
              <w:rPr>
                <w:rFonts w:eastAsia="楷体_GB2312" w:hint="eastAsia"/>
                <w:b/>
                <w:bCs/>
                <w:sz w:val="32"/>
              </w:rPr>
              <w:lastRenderedPageBreak/>
              <w:t>接受捐赠</w:t>
            </w:r>
          </w:p>
          <w:p w:rsidR="00000000" w:rsidRDefault="00F35D38">
            <w:pPr>
              <w:spacing w:line="0" w:lineRule="atLeast"/>
            </w:pPr>
            <w:r>
              <w:rPr>
                <w:rFonts w:eastAsia="楷体_GB2312" w:hint="eastAsia"/>
                <w:b/>
                <w:bCs/>
                <w:sz w:val="32"/>
              </w:rPr>
              <w:t>资助及使用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情</w:t>
            </w:r>
            <w:r>
              <w:rPr>
                <w:rFonts w:eastAsia="楷体_GB2312"/>
                <w:b/>
                <w:bCs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bCs/>
                <w:sz w:val="32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00000" w:rsidRDefault="00F35D38">
            <w:pPr>
              <w:jc w:val="left"/>
            </w:pPr>
            <w:r>
              <w:rPr>
                <w:rStyle w:val="font71"/>
                <w:rFonts w:ascii="楷体_GB2312" w:hint="eastAsia"/>
                <w:szCs w:val="28"/>
              </w:rPr>
              <w:t>无</w:t>
            </w:r>
          </w:p>
        </w:tc>
      </w:tr>
    </w:tbl>
    <w:p w:rsidR="00F35D38" w:rsidRDefault="00F35D38">
      <w:pPr>
        <w:jc w:val="left"/>
        <w:rPr>
          <w:rFonts w:ascii="楷体_GB2312" w:eastAsia="楷体_GB2312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填表人：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</w:t>
      </w:r>
      <w:r>
        <w:rPr>
          <w:rStyle w:val="font61"/>
          <w:rFonts w:ascii="楷体_GB2312" w:hint="eastAsia"/>
          <w:sz w:val="28"/>
          <w:szCs w:val="28"/>
        </w:rPr>
        <w:t>陶格斯</w:t>
      </w:r>
      <w:r>
        <w:rPr>
          <w:rFonts w:ascii="楷体_GB2312" w:eastAsia="楷体_GB2312" w:hint="eastAsia"/>
          <w:b/>
          <w:bCs/>
          <w:sz w:val="28"/>
          <w:szCs w:val="28"/>
        </w:rPr>
        <w:t xml:space="preserve">  </w:t>
      </w:r>
      <w:r>
        <w:rPr>
          <w:rFonts w:ascii="楷体_GB2312" w:eastAsia="楷体_GB2312" w:hint="eastAsia"/>
          <w:b/>
          <w:bCs/>
          <w:sz w:val="28"/>
          <w:szCs w:val="28"/>
        </w:rPr>
        <w:t>联系电话：</w:t>
      </w:r>
      <w:r>
        <w:rPr>
          <w:rStyle w:val="font61"/>
          <w:rFonts w:ascii="楷体_GB2312" w:hint="eastAsia"/>
          <w:sz w:val="28"/>
          <w:szCs w:val="28"/>
        </w:rPr>
        <w:t xml:space="preserve">13514796266  </w:t>
      </w:r>
      <w:r>
        <w:rPr>
          <w:rFonts w:ascii="楷体_GB2312" w:eastAsia="楷体_GB2312" w:hint="eastAsia"/>
          <w:b/>
          <w:bCs/>
          <w:sz w:val="28"/>
          <w:szCs w:val="28"/>
        </w:rPr>
        <w:t>报送日期：</w:t>
      </w:r>
      <w:r>
        <w:rPr>
          <w:rStyle w:val="font61"/>
          <w:rFonts w:ascii="楷体_GB2312" w:hint="eastAsia"/>
          <w:b/>
          <w:bCs/>
          <w:sz w:val="28"/>
          <w:szCs w:val="28"/>
        </w:rPr>
        <w:t>2024</w:t>
      </w:r>
      <w:r>
        <w:rPr>
          <w:rStyle w:val="font61"/>
          <w:rFonts w:ascii="楷体_GB2312" w:hint="eastAsia"/>
          <w:b/>
          <w:bCs/>
          <w:sz w:val="28"/>
          <w:szCs w:val="28"/>
        </w:rPr>
        <w:t>年</w:t>
      </w:r>
      <w:r>
        <w:rPr>
          <w:rStyle w:val="font61"/>
          <w:rFonts w:ascii="楷体_GB2312" w:hint="eastAsia"/>
          <w:b/>
          <w:bCs/>
          <w:sz w:val="28"/>
          <w:szCs w:val="28"/>
        </w:rPr>
        <w:t>03</w:t>
      </w:r>
      <w:r>
        <w:rPr>
          <w:rStyle w:val="font61"/>
          <w:rFonts w:ascii="楷体_GB2312" w:hint="eastAsia"/>
          <w:b/>
          <w:bCs/>
          <w:sz w:val="28"/>
          <w:szCs w:val="28"/>
        </w:rPr>
        <w:t>月</w:t>
      </w:r>
      <w:r>
        <w:rPr>
          <w:rStyle w:val="font61"/>
          <w:rFonts w:ascii="楷体_GB2312" w:hint="eastAsia"/>
          <w:b/>
          <w:bCs/>
          <w:sz w:val="28"/>
          <w:szCs w:val="28"/>
        </w:rPr>
        <w:t>20</w:t>
      </w:r>
      <w:r>
        <w:rPr>
          <w:rStyle w:val="font61"/>
          <w:rFonts w:ascii="楷体_GB2312" w:hint="eastAsia"/>
          <w:b/>
          <w:bCs/>
          <w:sz w:val="28"/>
          <w:szCs w:val="28"/>
        </w:rPr>
        <w:t>日</w:t>
      </w:r>
    </w:p>
    <w:sectPr w:rsidR="00F35D38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D38" w:rsidRDefault="00F35D38" w:rsidP="00603A30">
      <w:r>
        <w:separator/>
      </w:r>
    </w:p>
  </w:endnote>
  <w:endnote w:type="continuationSeparator" w:id="0">
    <w:p w:rsidR="00F35D38" w:rsidRDefault="00F35D38" w:rsidP="00603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D38" w:rsidRDefault="00F35D38" w:rsidP="00603A30">
      <w:r>
        <w:separator/>
      </w:r>
    </w:p>
  </w:footnote>
  <w:footnote w:type="continuationSeparator" w:id="0">
    <w:p w:rsidR="00F35D38" w:rsidRDefault="00F35D38" w:rsidP="00603A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3A30"/>
    <w:rsid w:val="00603A30"/>
    <w:rsid w:val="00F3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宋体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Pr>
      <w:rFonts w:ascii="Times New Roman" w:eastAsia="宋体" w:hAnsi="Times New Roman" w:cs="Times New Roman" w:hint="default"/>
      <w:sz w:val="18"/>
      <w:szCs w:val="18"/>
    </w:rPr>
  </w:style>
  <w:style w:type="character" w:customStyle="1" w:styleId="font21">
    <w:name w:val="font21"/>
    <w:basedOn w:val="a0"/>
    <w:rPr>
      <w:rFonts w:ascii="Times New Roman" w:eastAsia="楷体_GB2312" w:hAnsi="Times New Roman" w:cs="Times New Roman" w:hint="default"/>
      <w:sz w:val="30"/>
      <w:szCs w:val="24"/>
    </w:rPr>
  </w:style>
  <w:style w:type="character" w:customStyle="1" w:styleId="font51">
    <w:name w:val="font51"/>
    <w:basedOn w:val="a0"/>
    <w:rPr>
      <w:rFonts w:ascii="黑体" w:eastAsia="黑体" w:hAnsi="黑体" w:hint="eastAsia"/>
      <w:sz w:val="36"/>
      <w:szCs w:val="24"/>
    </w:rPr>
  </w:style>
  <w:style w:type="character" w:customStyle="1" w:styleId="font61">
    <w:name w:val="font61"/>
    <w:basedOn w:val="a0"/>
    <w:rPr>
      <w:rFonts w:ascii="Times New Roman" w:eastAsia="楷体_GB2312" w:hAnsi="Times New Roman" w:cs="Times New Roman" w:hint="default"/>
      <w:sz w:val="32"/>
      <w:szCs w:val="24"/>
    </w:rPr>
  </w:style>
  <w:style w:type="character" w:customStyle="1" w:styleId="font71">
    <w:name w:val="font71"/>
    <w:basedOn w:val="a0"/>
    <w:rPr>
      <w:rFonts w:ascii="Times New Roman" w:eastAsia="楷体_GB2312" w:hAnsi="Times New Roman" w:cs="Times New Roman" w:hint="default"/>
      <w:sz w:val="28"/>
      <w:szCs w:val="24"/>
    </w:rPr>
  </w:style>
  <w:style w:type="character" w:customStyle="1" w:styleId="hps">
    <w:name w:val="hps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196</Words>
  <Characters>1122</Characters>
  <Application>Microsoft Office Word</Application>
  <DocSecurity>0</DocSecurity>
  <Lines>9</Lines>
  <Paragraphs>2</Paragraphs>
  <ScaleCrop>false</ScaleCrop>
  <Company>WwW.YlmF.CoM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john</cp:lastModifiedBy>
  <cp:revision>2</cp:revision>
  <dcterms:created xsi:type="dcterms:W3CDTF">2024-03-22T08:18:00Z</dcterms:created>
  <dcterms:modified xsi:type="dcterms:W3CDTF">2024-03-22T08:18:00Z</dcterms:modified>
</cp:coreProperties>
</file>