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7"/>
          <w:b/>
          <w:bCs/>
          <w:sz w:val="30"/>
          <w:szCs w:val="30"/>
          <w:lang w:val="en-US"/>
        </w:rPr>
        <w:t>12152500460761513Y</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7"/>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6"/>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锡林郭勒盟教育招生考试中心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6"/>
                <w:b/>
                <w:bCs/>
                <w:sz w:val="36"/>
                <w:szCs w:val="24"/>
                <w:bdr w:val="none" w:color="auto" w:sz="0" w:space="0"/>
              </w:rPr>
              <w:t>法</w:t>
            </w:r>
            <w:r>
              <w:rPr>
                <w:rStyle w:val="16"/>
                <w:b/>
                <w:bCs/>
                <w:spacing w:val="30"/>
                <w:sz w:val="36"/>
                <w:szCs w:val="24"/>
                <w:bdr w:val="none" w:color="auto" w:sz="0" w:space="0"/>
              </w:rPr>
              <w:t>定代表</w:t>
            </w:r>
            <w:r>
              <w:rPr>
                <w:rStyle w:val="16"/>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锡林郭勒盟教育招生考试中心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贯彻落实教育招生考试工作法律法规。普通高等学校招生考试、研究生招生考试、成人高校招生考试、高等教育自学考试、普通高中学业水平考试、初中毕业生学业考试、特岗教师招聘考试、教师资格认定考试等相关考试考务、招生工作的组织实施；教育考试招生信息化技术支持、标准化考点建设、教育考试领域诚信教育的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锡林浩特市锡林大街西段行署2号楼四楼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阿尔宾巴雅尔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287</w:t>
            </w:r>
            <w:r>
              <w:rPr>
                <w:rStyle w:val="18"/>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8"/>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8"/>
                <w:rFonts w:hint="eastAsia" w:ascii="楷体_GB2312" w:eastAsia="楷体_GB2312" w:cs="楷体_GB2312"/>
                <w:sz w:val="28"/>
                <w:szCs w:val="28"/>
                <w:bdr w:val="none" w:color="auto" w:sz="0" w:space="0"/>
                <w:lang w:val="en-US"/>
              </w:rPr>
              <w:t>锡林郭勒盟教育局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84</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8"/>
                <w:sz w:val="32"/>
                <w:szCs w:val="32"/>
                <w:bdr w:val="none" w:color="auto" w:sz="0" w:space="0"/>
                <w:lang w:val="en-US"/>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锡林郭勒盟教育招生考试中心.公益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8"/>
                <w:rFonts w:hint="eastAsia" w:ascii="楷体_GB2312" w:eastAsia="楷体_GB2312" w:cs="楷体_GB2312"/>
                <w:sz w:val="28"/>
                <w:szCs w:val="24"/>
                <w:bdr w:val="none" w:color="auto" w:sz="0" w:space="0"/>
                <w:lang w:val="en-US"/>
              </w:rPr>
              <w:t xml:space="preserve">2023年，在锡盟教育局党组的坚强领导下，锡盟教育招生考试中心坚持以习近平新时代中国特色社会主义思想为指导，以铸牢中华民族共同体意识为主线，持续加强政治建设，锐意推进招生考试领域改革，全面加强考试风险管控，不断优化考试服务，推动年度各项工作任务圆满完成。现总结报告如下： 一、政治思想建设 考试中心领导班子坚持以习近平新时代中国特色社会主义思想为指导，以铸牢中华民族共同体意识为主线，深入学习贯彻党的二十大、二十届二中全会精神，全面贯彻落实党中央决策部署和习近平总书记关于教育的重要论述和对内蒙古工作重要指示批示精神，扎实开展主题教育，全方位推动中心党建和业务等各项工作取得积极成效。 （一）强化政治引领，从严从实履行主体责任 根据相关规定和要求，切实压实领导班子“一岗双责”，坚持将学习习近平新时代中国特色社会主义思想作为贯彻落实“第一议题”制度的重要内容。自觉贯彻习近平总书记关于意识形态工作的重要论述精神，认真落实意识形态工作责任制，各类信息发布实行“三审”“三校”，严格各类文稿把关审核，确保不发生政治问题、不犯政治错误；结合各类考试敏感时间节点、舆情热点，进行前瞻性分析研判，确保我盟教育考试工作不发生重大舆情；日常重视干部管理，教育党员干部严守政治纪律，抵制各种错误言论和网络谣言，弘扬科学价值观和“正能量”。 （二）强化政治担当，凝心聚力抓实主题教育 制定主题教育工作方案，围绕办好“两件大事”以及学习贯彻全方位建设模范自治区和全面贯彻铸牢中华民族共同体意识主线相关精神，有针对性开展集中理论学习16次、专题研讨4次；开展主题党日活动2次，党支部书记讲专题党课2次。 （三）强化政治建设，以改促进推动基层党建 2023年，考试中心党支部完成增补选举，高度重视支部建设，严防“重业务、轻党建”现象抬头，基层党建与整治整改齐抓共管。针对主题教育检视出工作中存在的2项问题，共提出整改措施2条，全部问题均已按期整改完毕。 二、工作实绩 考试中心领导班子深入贯彻《关于推动内蒙古高质量发展 奋力书写中国式现代化新篇章的意见》，牢固树立正确的政绩观，认真落实立德树人根本任务，奋力推动教育考试事业稳步行健高质量向前迈进。 （一）年度重点任务完成情况 1.聚焦自治区重点任务，大力推进国家教育考试数字化标准考场升级改造项目 2023年自治区《政府工作报告》中明确提出“升级改造2万个数字化标准化考场”，该项工作同时被列入我区2023年43项重点民生实事项目之一，是考试中心年度工作的重中之重。中心班子全力以赴推进项目建设，目前项目硬件设备已全部交付，升级改造基本完成，具备组织考试条件。项目建成后，我盟国家教育考试安全水平、管理水平、指挥能力和服务质量将得到全面提升。 2.牢守安全公平底线，圆满完成年度招生考试工作 全面落实盟委、行署和教育局党组安排部署，“坚持管行业必须管安全，管业务必须管理安全”理念，统筹抓好各项考试安全和招生公平等重点环节。着力加强考试风险管控，严密细致开展手机作弊防范、考试环境整治专项行动相关工作，用心用情做好考试服务保障。全年有序组织各类教育考试12次，组织7.09万人次参加考试，圆满完成年度各项教育招生考试任务，实现了“三无三稳三确保”工作目标。 3.坚持稳中求进，全面推进高考综合改革 认真学习贯彻《内蒙古自治区普通高中学业水平考试选择性考试再选科目等级转换分数实施办法（试行）》《内蒙古自治区普通高中学业水平考试实施细则（试行）》《内蒙古自治区普通高中学业水平考试考籍管理办法（试行）》《内蒙古自治区普通高中体育与健康、音乐、美术、信息技术、通用技术、理科实验学业水平考试的实施指导意见（试行）》《关于做好2023学年春季期全区普通高中学业水平考试考籍注册和选课报名工作的通知》等文件精神，顺利完成我区启动高考综合改革以来的首次高中学业水平合格性考试。 4.坚持开拓创新，推进艺术类招生考试改革落地实施 认真学习《内蒙古自治区关于进一步加强和改进普通高等学校艺术类专业考试招生工作实施方案》，进一步完善“文化素质+专业能力”的考试评价方式，实现艺术类统考全覆盖，将美术、音乐、编导3类调整为音乐、舞蹈、表（导）演、播音与主持、美术与设计、书法6类；在艺术类统考音乐、舞蹈、播音与主持艺术和表（导）演4个科类面试中实施“考评分离”的组考模式。同时为减轻考生参加考试的经济负担，减少对高校正常教学活动的影响，在锡林郭勒盟蒙古族中学建设标准化面试考场，实现全区各地统一考试条件、统一录制环境、统一录制程序、统一视频标准等，满足了全盟考生就近就便参加2024年普通高校招生艺术类专业统考的意愿。 （二）其他工作完成情况 1.坚持以人为本，主动作为提升服务水平 一是以信息化推动考务管理和服务水平提升。通过考试综合管理平台及决策指挥系统，实现全局统一指挥、全程分级管理、全域实时监控；利用高考志愿填报辅助系统，为考生提供多类详细报考信息；二是发放《2023年普通高考成绩分析报告》和《2023年内蒙古自治区普通高考学科诊断报告》，为基层教育行政部门和学校分析学情教情提供支撑。 2.加强内部建设，强基固本提升工作质效 一是完善制度建设。印发《锡盟教育招生考试中心公务接待管理办法》等多项内部管理规定，提升工作规范性。二是强化财务、资产管理。聘请第三方审计机构对中心近三年财务账目进行内审，开展固定资产清查。 三、作风建设 认真贯彻落实中央八项规定及其实施细则精神，紧盯“四风”问题新表现，坚决破除不良习气和作风，在重大节点重要节日前有针对性做好提醒、教育。严格履行办文办事流程，对精文简会常抓不懈。日常自觉做好党务公开、政务公开，对于广大考生家长通过12345平台等渠道线上线下反映的问题，做到及时反馈、应答尽答，对合理诉求全部予以解决或协调有关部门帮助解决。充分利用专题调研和外出参会、巡考机会深入基层、深入群众、深入实际开展调研活动，做到真发现问题、发现真问题，推动问题立行立改，形成了以党风带动作风的良好风气。 四、党风廉政建设和反腐败斗争 坚持将党风廉政教育作为党支部“三会一课”、组织生活会的一项重要内容，认真贯彻民主集中制，严格执行“三重一大”。中心党风廉政建设工作领导小组专门研究部署党风廉政建设工作，明确进一步压实党支部书记第一责任人责任，要求班子其他成员切实担起“一岗双责”，把党风廉政建设和业务工作结合起来，把党的建设、党风廉政建设工作融入日常，加强对党小组、科室工作人员的日常教育与监督，做到压力层层传、责任环环扣，切实发挥党组织战斗堡垒作用。 五、存在的问题和不足 党建工作方面。抓政治理论学习不够到位，特别是党支部对各党小组的学习情况、学用结合成效掌握不足，指导督促力度有所欠缺；管党治党责任压得还不够实，对支部委员和普通党员干部的日常监督没有完全到位。业务工作方面。考试组织管理特别是防范手机作弊、考务人员培训等环节有待进一步加强。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吉木苏</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15847987740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2024年03月21日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FF78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9"/>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hps"/>
    <w:basedOn w:val="13"/>
    <w:uiPriority w:val="0"/>
  </w:style>
  <w:style w:type="character" w:customStyle="1" w:styleId="16">
    <w:name w:val="font51"/>
    <w:basedOn w:val="13"/>
    <w:uiPriority w:val="0"/>
    <w:rPr>
      <w:rFonts w:hint="eastAsia" w:ascii="黑体" w:hAnsi="宋体" w:eastAsia="黑体" w:cs="黑体"/>
      <w:sz w:val="36"/>
      <w:szCs w:val="24"/>
    </w:rPr>
  </w:style>
  <w:style w:type="character" w:customStyle="1" w:styleId="17">
    <w:name w:val="font21"/>
    <w:basedOn w:val="13"/>
    <w:uiPriority w:val="0"/>
    <w:rPr>
      <w:rFonts w:hint="default" w:ascii="Times New Roman" w:hAnsi="Times New Roman" w:eastAsia="楷体_GB2312" w:cs="Times New Roman"/>
      <w:sz w:val="30"/>
      <w:szCs w:val="24"/>
    </w:rPr>
  </w:style>
  <w:style w:type="character" w:customStyle="1" w:styleId="18">
    <w:name w:val="font71"/>
    <w:basedOn w:val="13"/>
    <w:uiPriority w:val="0"/>
    <w:rPr>
      <w:rFonts w:hint="default" w:ascii="Times New Roman" w:hAnsi="Times New Roman" w:eastAsia="楷体_GB2312" w:cs="Times New Roman"/>
      <w:sz w:val="28"/>
      <w:szCs w:val="24"/>
    </w:rPr>
  </w:style>
  <w:style w:type="character" w:customStyle="1" w:styleId="19">
    <w:name w:val="页眉 Char"/>
    <w:basedOn w:val="13"/>
    <w:link w:val="9"/>
    <w:locked/>
    <w:uiPriority w:val="0"/>
    <w:rPr>
      <w:rFonts w:hint="default" w:ascii="Times New Roman" w:hAnsi="Times New Roman" w:eastAsia="宋体" w:cs="Times New Roman"/>
      <w:sz w:val="18"/>
      <w:szCs w:val="18"/>
    </w:rPr>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2024-04-10T10:53:35Z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BCEDDBBA49B399B42FFF15668DEEA34A</vt:lpwstr>
  </property>
</Properties>
</file>