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12152500460760748M</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锡林郭勒盟民族高级技工学校</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锡林郭勒盟民族高级技工学校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培养中级技术人才,提高社会职业素质.技术工人培训；相关技能培训.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锡林浩特市明安图街11号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杨富有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5404</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本年度共进行变更登记：1次 变更登记的时间：2023年3月1日 变更登记的原因：根据《关于锡林郭勒盟民族高级技工学校与锡林郭勒盟职业学院整合的通知》（锡机编委发〔2022〕49号），变更住所、变更举办单位、变更法定代表人。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一、锡林郭勒技师学院申报和挂牌工作 按照《内蒙古自治区技工院校审批管理办法》《技师学院设置标准》，制定完善技师学院拟设8个专业《技师学院人才培养方案》《技师学院可行性分析报告》《技师学院三年规划》等。2023年3月12日，正式通过专家评估组对锡林郭勒技师学院实地评估验收，并给予高度评价，评估涉及17项内容，满分为1000分（650分合格），具体包括：办学方向、办学模式、双证制度、申办资格、领导班子、办学规模、专业设置、学校面积、教学管理、安全管理、德育与职业指导、教学研究与专业带头人、校企合作等。2023年5月经自治区人民政府审批锡林郭勒技师学院正式成立， 7月挂牌，学院招生、培训鉴定等各项工作全面展开。 二、锡林郭勒技师学院招生和培训工作 自治区人力资源和社会保障厅下达锡林郭勒技师学院2023年招生任务300人。技师学院共招收学生306人，其中：面向初、高中毕业生招收的全日制在校生44人，面向企业员工招收的非全日制学生262人，专业包括：旅游服务与管理、汽车维修、焊接加工、火电厂人力设备运行与维修、烹饪。职业技能培训3681人，其中：农村牧区劳动力1949人，高校毕业生、下岗失业人员等1732人；初级工361人、中级工3268人、高级工30人、技师22人。 三、教学管理工作 2023年新学期开学，全日制学生按时到校上课，学院围绕“走进技工院校，点亮技能之光”的主题，开展2023年秋季学期“开学第一课”活动，组织一系列丰富多彩的安全教育、德育教育活动；集中学习宣传党的二十大精神，紧扣落实习近平总书记交给内蒙古的五大任务，开展以“北疆教育心向党”为主题的思政一体化教育实践活动；组织全体师生观看《信心满怀向未来》《技能成才技能报国先进事迹报告会》，使师生感受到执着专注、精益求精、一丝不苟、追求卓越的工匠精神，感受到积极向上、追逐梦想、奋斗无悔、为国争光的责任担当，也感受到个人实现人生价值的方向所在。非全日制学生的教学，技师学院与相关企业达成校企共同培养协议，改革传统的教学和课程体系，方便企业，送教上门，采取工学结合、弹性学制、企业新型学徒培养等多种培养方式，在不耽误企业正常生产的情况下完成教学任务。 四、师资队伍建设工作 加强“双师型”教师队伍建设，加大骨干教师培养力度，通过线上线下各类培训，进一步提高教师队伍能力水平。6月份，选派锡林郭勒技师学院1名教师参加全区技工院校工学一体化技能人才培养模式第一阶段机械类专业骨干教师师资培训班培训考核，取得全区工学一体化技能人才培养模式第一阶段机械类专业三级教师培训合格证书。7月份，经自治区人社厅遴选，锡林郭勒技师学院1名教师参加三科教师国家级培训。8月份，锡林郭勒技师学院组织三科统编教材授课教师通过自主学习的方式登录高等教育出版社教师发展中心培训平台学习国家级示范培训现场视频，覆盖所有任课老师。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曹震</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17684838409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5DCF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hps"/>
    <w:basedOn w:val="13"/>
    <w:uiPriority w:val="0"/>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2024-04-10T10:54:43Z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6248AC0208198C9B73FF1566A86BCF1E</vt:lpwstr>
  </property>
</Properties>
</file>