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12152500460760633F</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锡林郭勒盟疾病预防控制中心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锡林郭勒盟疾病预防控制中心（锡林郭勒盟鼠疫防控中心）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为人民身体健康提供预防控制和技术支撑。疾病监测评价和流行病学调查、地方病与慢性病防控、鼠疫监测检测、职业病防治监测、突发公共卫生事件和灾害疫情应急处置、健康危害因素监测与干预、健康教育与健康促进、疾病预防控制技术管理与应用研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锡林浩特市开发区西段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张慧玲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2746</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4944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锡林郭勒盟疾病预防控制中心.公益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本年度共进行变更登记：1（次） 变更登记的时间：2023年9月5日 变更原因：根据锡林郭勒盟行政公署《锡林郭勒盟行政公署关于张慧玲等同志任免的通知》（锡署任字【2023】27号）变更为张慧玲同志任盟疾病预防控制中心主任，试用期一年，免去盟卫生健康委员会副主任职务；免去刘群同志盟疾病预防控制中心主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一、党建工作情况：2023年以来，在盟卫健委的领导下，我中心认真落实全面从严治党和党风廉政建设的部署要求，大力推进机关党建工作走深走实。严格落实中心党总支主体责任、党总支书记的第一责任，班子其他成员履行“一岗双责”，不断增强主体意识和政治担当。深入开展“集中治理党内政治生活庸俗化交易化问题”工作和“整治两化问题，提高工作质效，净化政治生态”专项行动。督导各支部严格执行“三会一课”、主题党日、组织生活会、民主评议党员等制度，严格落实党员领导干部双重组织生活制度，切实提高党内政治生活质量。制定中心组理论学习安排、党员学习计划与铸牢中华民族共同体意识教育、党员干部和专业技术人员教育培训相结合，做到党员和非党同志全覆盖，截止目前中心组学习18次、研讨交流6次、反腐败警示教育和安全生产警示教育7次，开展全体党员集中学习33次，并着力抓好“学习强国”平台推广使用。2年内接收入党积极分子4名，按期转正预备党员2名。开展党组织和在职党员到社区“双进双服务”活动，3个党支部48位党员均到包联社区报到，党总支与包联社区签订了《城市基层党建包联共建协议书》并开展了“关爱残疾人、帮助残疾人完成微心愿”主题党日活动。赴吉林省地方病第一防治研究所（国家鼠布基地）开展党建共建活动。深入学习贯彻习近平新时代中国特色社会主义思想主题教育活动。收到通知立即动员部署，制定主题教育工作方案。扎实推进理论学习，按时召开读书班和专题研讨，抓实调查研究。严格落实意识形态工作责任制，持续开展铸牢中华民族共同体意识教育。全面开展医药领域腐败问题集中整治工作。立即召开动员部署会，成立锡盟疾病预防控制中心医疗领域腐败问题集中整治领导小组，发布行风问题举报方式和廉政专户信息，并发放自查自纠登记表105份，主要负责人及相关科室负责人填写关键少数、关键岗位承诺书15份，中心不存在腐败问题。 二、业务工作开展情况：（一）鼠疫防控工作，按照《全国鼠疫监测方案》和 “两早一延长”的要求，全年开展监测工作；处置鼠疫期间中心实验室阳性复判准确率100%，规范处置率达到100%。并对旗县疫点进行指导与验收。（二）重点传染病防控工作：完成传染病报告管理工作，包括甲类传染病，乙类传染病，丙类传染病，达到自治区考核要求。（三）性病、艾滋病防治工作，完成哨点监测工作，并将监测数据录入到国家哨点监测系统，完成监管场所监测、咨询检测及高危人群干预检测，完成感染者随访管理，与去年同期相比持平。（四）完成结核病防治工作，举办锡林郭勒盟结核病防治规划培训班，全盟共72人参培。（五）免疫规划工作，制定《疑似预防接种异常反应应急处置预案》，及时调整预防接种异常反应调查诊断专家组，为我盟下一步疑似预防接种异常反应的调查诊断及处置工作提供保障。（六）完成布病防治工作，达到自治区指标要求。（七）完成手足口病监测工作样本720份，完成率131%。（八）呼吸道多病原监测工作，中心实验室共检测样本424份，完成率88.33%。（九）完成包虫病防治工作。（十）完成地方病防治工作，有碘缺乏病、地方性饮水型砷中毒、地方性饮水型氟中毒、克山病、大骨节病、饮茶型氟中毒好质控、培训、督导工作、尿碘实验室验收工作；慢性病防治工作，有死因监测工作、肿瘤登记报告工作、公共卫生工作、职业卫生工作。（十一）病媒与消杀工作，2023年继续组织指导全盟各监测点开展病媒生物监测和检测工作，本年度组织各地首次全部开展了自项目启动后的生态学现场监测的所有内容，同时今年9月启动了我中心对3种病媒生物病原学监测，病媒生物监测项目工作按照自治区要求已全部完成。（十二）卫生应急工作，制定传染病防控、中毒处置和其他类型处置方面的应急预案汇编，明确应急处置流程，涵盖如突发公共卫生事件应急处置总体预案、鼠疫、霍乱、不明原因肺炎、人感染高致病性禽流感等单项30种卫生应急预案、15种常见传染病防治方案和中毒、污染事件的应急处置方案。组建突发公共卫生事件领导小组，下设流调组、检验组、采样组、信息组、后勤保障等7个应急类别9支工作组。（十三）质量控制工作，通过了内蒙古自治区质量技术监督局对我中心检验检测机构资质认定。（十四）健康教育工作，为满足不同群体的个性化科普需求，以“健康科普”为着力点，以“锡林郭勒盟疾病预防控制中心”公众号平台为依托，兼顾实用性、原创性、针对性、可及性，加强在新媒体平台的宣传力度，积极开展健康知识普及行动，教育引导人民群众树立正确健康观。 三、存在的困难及建议：（一）卫生应急队伍力量薄弱，现场处置人员紧缺；应急队伍缺乏必要的经费保障，应急基本装备种类和数量与实际的卫生应急工作需求仍有差距；应急物资储备能力有待加强，储备物资的管理、分类有待调整；卫生应急预案及相关方案内容仍需充实完善。 （二）随着健康中国战略的深入实施，“大卫生、大健康”理念不断深入，人民群众对健康需求日益增加，传染病、地方病、慢性病、公共卫生和食品安全风险监测等疾病预防控制工作任务突显重要，对疾控机构检验能力提出更高的要求。建议加大疾控机构实验室建设、设施设备购置的投入，同时增加实验室维护专项经费。（三）部分地区在执行“新型结核病防治服务体系”的过程中流于形式，虽然建立疾控机构负责管理、医疗机构负责诊断治疗、基层医疗机构负责督导管理的结核病防治服务体系，但是在执行中各自为政，不能够落实《锡林郭勒盟新型结核病防治服务体系》所规定的各个部门的职能，需要不断改善和提高服务水平；建议强化结核病专项培训工作，尤其是加强定点医院医务人员和实验室工作人员对现代结核病防治知识的了解和相关政策的培训。规范结核病患者发现、治疗和管理三个关键环节，提高非定点医疗机构和基层医疗机构疑似患者的转诊率、肺结核患者的系统管理率和管理质量，使结核病的防治工作落到实处。 四、下一步工作安排：（一）继续加强疾病预防控制体系建设，对照自治区疾病预防控制机构标准化建设方案和分级管理方案，提升疾控机构基础建设、人才队伍建设、质量管理及业务综合水平。提升实验室能力建设，充分利用已建成的PCR实验室，扩展检测项目，根据本地区具体情况有针对性的开展检测工作。（二）严格落实鼠疫、新冠病毒感染、结核病、艾滋病等重点传染病各项防控措施，不断强化疫情监测预警，及时发现和规范化处置疫情。（三）继续开展布病相关工作督导及双向流调溯源工作；加强与医疗机构的密切协作机制，完成手足口病项目工作任务。依据包虫病项目规定继续开展各项工作。（四）继续完善应急预案和制度建设，加强卫生应急队伍能力建设，加强应急物资储备、管理。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职业病诊断机构备案凭证 发证日期2021年7月27日 内蒙古自治区与人体健康有关的病原微生物实验室和实验活动备案凭证 备案有效期2023年11月23至2028年11月22日 放射诊疗许可证 发证日期2023年4月14日 复辐射安全许可证 有效日期2019年12月11日-2024年12月9日 职业健康检查机构备案凭证 发证日期2020年5月12日 诊所备案凭证 备案日期2023年11月16日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孙慧雯</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15047187999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2024年01月09日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CFFF5D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2024-04-10T10:54:49Z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21E0A77A3959610279FF15663B2FFC8A</vt:lpwstr>
  </property>
</Properties>
</file>