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12152500353063541D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国道303线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国道303线（原省道101线）别力古台至锡林浩特段公路建设项目管理办公室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为公路建设提供组织管理保障；国道303线别力古台至锡林浩特段公路建设组织和管理。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锡盟锡林浩特市巴彦德勒格尔道班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申茂枝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6.5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非财政补助（自收自支）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6.5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我单位下设工程部、质检部、综合部、财务部四个职能部门，全权负责本项目的计划、合同、技术、质量、安全、综合协调、财务等建设管理工作。2023年度我单位在盟交通运输局的正确领导下，认真贯彻《事业单位登记管理暂行条例》和有关法律、法规、政策，按照核准登记的业务范围开展活动，主要做了以下几个方面的工作： 1、质量管理情况：为加强本项目的工程质量管理，明确工程质量责任，实现质量目标，规范各级管理及工程技术人员质量管理行为，建管办、总监办、驻地办及承包人均成立了以第一责任人任组长的质量管理领导小组；各领导小组成员根据各自工程质量控制方面的侧重点，建立质量管理体系和制定相应的质量管理办法，具体落实质量管理和过程控制的责任。从业单位应按照合同文件要求配备合格的工程技术人员、试验检测人员及试验检测设备、制定相应的岗位责任，确保质量保证体系的良好运作。严格落实公路工程质量责任制，本项目建设的从业单位和从业人员按照各自的职责，对所承担的工程内容在设计使用年限内承担质量责任。各从业单位负责人层层分解质量责任，建立质量责任登记制度并填写质量责任登记表。 2、基本建设程序执行情况：项目工可、两阶段初步设计、施工图设计、环境影响报告书、水土保持方案报告书、项目选址、节能评估、地质灾害危险性评估报告、矿产资源压覆、社会稳定风险评估、土地预审、林地手续、草地手续、用地手续取得批复或通过评审。 3、文明环保施工情况：建设过程中尤为重视保护当地草原环境和节约资源。坚持“环保与主体工程同步实施、同步完成”的思路，加强对施工人员的宣传指导。将料场、取弃土场选可视范围外。取弃土场使用前用网围栏围档，施工便道尽量选在原有自然路上，定线后用网围栏围封，防止施工车辆乱压草场，清表土集中整齐堆放，施工现场做到工完、料净、场清。施工便道及时洒水降尘，施工垃圾集中及时处理。减少施工对环境的影响和破坏，保持公路建设与生态环境保护和谐统一。 4、廉政建设情况：根据《关于在交通基础设施建设中加强廉政建设的若干意见》以及有关工程建设、廉政建设的规定，为做好工程建设中的党风廉政建设，保证工程建设高效优质，保证建设资金的安全和有效使用以及投资效益，建管办和监理、施工单位签订了《廉政合同》。建立健全廉政制度，落实廉政责任制，开展廉政教育，在历次会议和日常工作中都把廉政工作作为项目的重点工作来抓，要求参建单位对本单位人员要做好廉政教育，遵守廉政自律行为准则，确保工程质量优质，人员廉洁优秀。 5、安全生产情况：加强本项目的安全生产监督管理工作，坚持“安全第一，预防为主”和“管生产必须管安全”的原则，在签订施工合同的同时签订了安全生产合同，并专门设置安全生产费，在投标总价中按招标人公布的最高投标限价的1.5％取费标准以固定金额形式计入工程量清单第100章中，每期计量时核实安全费用使用清单，达不到计量金额的1.5％则本期计量不予计量，确保将安全生产费足额使用。成立项目安全生产领导小组，进一步完善细化了安全生产管理制度，明确具体工作责任目标，层层落实安全生产工作责任追究制。制定安全生产应急预案，建立了应急抢险救援队伍，定期组织开展应急演练。建立了安全隐患报告制度和激励机制，严格执行事故报告制度，过程中加强检查，人员和设施满足合同和现场需要，针对项目特点在过程中重点检查基坑和支架施工安全；要求施工车辆在施工便道行驶，减少对现有省道101线通行安全影响；春秋两季加强草原防火工作；驻地和民工点等人员集中地加强用电、用火、食品安全检查；保通段加大安保设施投入并不间断维护，确保运营安全。新建涵洞与旧路较近的增设安全防护及标志标牌；要求已停止生产的拌合场站、钢筋加工厂切断电源，防范火灾触电等事故发生。对于冬季备料时在场站驻点人员加强用火取暖管理，防范煤气中毒事故发生。采取定期巡查、重奖重罚等措施，将事故苗头消灭在萌芽状态；到目前为止未发生安全生产事故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丁苹苹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15164976707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E6A8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2024-04-10T10:55:56Z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B32BED13157131C5BCFF15662B75CAE3</vt:lpwstr>
  </property>
</Properties>
</file>