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12152500089588313Y</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锡林郭勒盟乌拉盖管理区政法委政法信息服务中心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锡林郭勒盟乌拉盖管理区政法委政法信息服务中心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及时准确搜集掌握管理区范围内各类内幕性、预警性、情报性信息；发挥情报信息在辅助决策、引领实战、指导防范中的重要作用；对情报信息进行综合分析，研判和预测涉及国家安全、政治稳定、经济安全、刑事犯罪、重大社会治安问题、公众舆论的重要动向和主要趋势，为领导决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乌拉盖管理区巴音胡硕镇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扎拉嘎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9</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乌拉盖管理区政法委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锡林郭勒盟乌拉盖管理区政法委政法信息服务中心.公益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锡林郭勒盟乌拉盖管理区政法委政法信息服务中心遵守国家有关法律法规和《事业单位登记管理暂行条例》及其实施细则规定，按照宗旨和业务范围开展相关活动，没有涉及办理变更登记，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一、加强涉稳信息及基础调研工作,涉稳信息搜集研判工作是我中心最重要工作之一。 二是加强网络舆情监控，目前我国已进入互联网时代及多媒体时代，对敏感事件的处置稍有不慎就有可能引起网络炒作，网络舆情已成为影响社会稳定的诱发因素，做好舆情监控，及时发现和控制舆情是维护社会稳定的重要措施之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古色楞</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13694793940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5F9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hps"/>
    <w:basedOn w:val="13"/>
    <w:uiPriority w:val="0"/>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2024-04-10T10:56:02Z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8F2BAE78C856CC99C2FF156617B36764</vt:lpwstr>
  </property>
</Properties>
</file>