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9"/>
          <w:b/>
          <w:bCs/>
          <w:sz w:val="30"/>
          <w:szCs w:val="30"/>
          <w:lang w:val="en-US"/>
        </w:rPr>
        <w:t>12152500MB1G77717J</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9"/>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8"/>
                <w:rFonts w:hint="eastAsia" w:ascii="楷体_GB2312" w:eastAsia="楷体_GB2312" w:cs="楷体_GB2312"/>
                <w:sz w:val="32"/>
                <w:szCs w:val="24"/>
                <w:bdr w:val="none" w:color="auto" w:sz="0" w:space="0"/>
                <w:lang w:val="en-US"/>
              </w:rPr>
              <w:t>锡林郭勒盟联合接访中心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锡林郭勒盟联合接访中心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为信访人提供联合接访服务。协调、联络驻联合接访中心各有关部门；记录、整理、统计、汇总受理的接访信息；维护信访秩序。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内蒙古锡林郭勒盟锡林浩特市新区党政大楼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铁成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2.42</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8"/>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8"/>
                <w:sz w:val="32"/>
                <w:szCs w:val="24"/>
                <w:bdr w:val="none" w:color="auto" w:sz="0" w:space="0"/>
                <w:lang w:val="en-US"/>
              </w:rPr>
              <w:t>.0032</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锡林郭勒盟联合接访中心.公益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8"/>
                <w:sz w:val="32"/>
                <w:szCs w:val="24"/>
                <w:bdr w:val="none" w:color="auto" w:sz="0" w:space="0"/>
                <w:lang w:val="en-U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2023年度我单位认真执行《事业单位登记管理暂行条例》及《事业单位登记管理暂行条例实施细则》，根据有关法律、法规和政策，严格按照核准登记的宗旨和业务范围开展活动。本机构全年无变更。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2023年度，按照盟委、行署和上级部门的部署要求，在自治区业务主管部门的业务指导下，锡盟联合接访中心紧紧围绕全力打造“阳光信访”、“责任信访”、“法治信访”，综合运用法律、政策、行政等手段和教育、调解、疏导等办法，引导来访群众自觉守法、遇事找法、解决问题靠法，努力把矛盾化解在早、化解在小、化解在基层，切实解决了一大批群众急难愁盼问题，做到群众反映的问题件件有着落、事事有回音，以实际行动赢得来访群众的理解、信任和支持。 锡林郭勒盟联合接访中心持续推进信访法治化建设，窗口单位按照信访工作要求，充分发挥驻厅职能部门的作用，积极办理来盟走访案件，及时协调或化解信访疑难事项。同时，按照工作要求，为切实履行好“为党分忧、为民解难”的职责使命，严格执行领导干部接访下访制度，深入践行浦江经验，盟级领导带头开展接访下访工作，切实解决群众急难愁盼问题。在盟级领导示范引领下，各旗县市（区）领导干部积极主动落实领导干部接访下访制度，从源头上化解了一大批信访突出和群众反映强烈的热点难点问题。 深入贯彻落实习近平总书记关于加强和改进人民信访工作的重要思想，聚焦高质量完成“五大任务”和全方位建设模范自治区两件大事，按照孙绍骋书记指示要求和自治区党委政府、盟委行署的统一部署，在信访代办制工作中采取“1234”工作法全力打造“全盟上下同心、合力攻坚”的强大氛围，不断提升基层治理效能，切实维护群众合法权益，持续巩固全盟和谐稳定大局。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8"/>
          <w:rFonts w:hint="eastAsia" w:ascii="楷体_GB2312" w:eastAsia="楷体_GB2312" w:cs="楷体_GB2312"/>
          <w:sz w:val="28"/>
          <w:szCs w:val="28"/>
          <w:lang w:val="en-US"/>
        </w:rPr>
        <w:t>苏日娜</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8"/>
          <w:rFonts w:hint="eastAsia" w:ascii="楷体_GB2312" w:eastAsia="楷体_GB2312" w:cs="楷体_GB2312"/>
          <w:sz w:val="28"/>
          <w:szCs w:val="28"/>
          <w:lang w:val="en-US"/>
        </w:rPr>
        <w:t xml:space="preserve">15947197051  </w:t>
      </w:r>
      <w:r>
        <w:rPr>
          <w:rFonts w:hint="eastAsia" w:ascii="楷体_GB2312" w:eastAsia="楷体_GB2312" w:cs="楷体_GB2312"/>
          <w:b/>
          <w:bCs/>
          <w:sz w:val="28"/>
          <w:szCs w:val="28"/>
          <w:lang w:eastAsia="zh-CN"/>
        </w:rPr>
        <w:t>报送日期：</w:t>
      </w:r>
      <w:r>
        <w:rPr>
          <w:rStyle w:val="18"/>
          <w:rFonts w:hint="eastAsia" w:ascii="楷体_GB2312" w:eastAsia="楷体_GB2312" w:cs="楷体_GB2312"/>
          <w:b/>
          <w:bCs/>
          <w:sz w:val="28"/>
          <w:szCs w:val="28"/>
          <w:lang w:val="en-US"/>
        </w:rPr>
        <w:t>2024年03月26日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FFE8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20"/>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hps"/>
    <w:basedOn w:val="13"/>
    <w:uiPriority w:val="0"/>
  </w:style>
  <w:style w:type="character" w:customStyle="1" w:styleId="18">
    <w:name w:val="font61"/>
    <w:basedOn w:val="13"/>
    <w:uiPriority w:val="0"/>
    <w:rPr>
      <w:rFonts w:hint="default" w:ascii="Times New Roman" w:hAnsi="Times New Roman" w:eastAsia="楷体_GB2312" w:cs="Times New Roman"/>
      <w:sz w:val="32"/>
      <w:szCs w:val="24"/>
    </w:rPr>
  </w:style>
  <w:style w:type="character" w:customStyle="1" w:styleId="19">
    <w:name w:val="font21"/>
    <w:basedOn w:val="13"/>
    <w:uiPriority w:val="0"/>
    <w:rPr>
      <w:rFonts w:hint="default" w:ascii="Times New Roman" w:hAnsi="Times New Roman" w:eastAsia="楷体_GB2312" w:cs="Times New Roman"/>
      <w:sz w:val="30"/>
      <w:szCs w:val="24"/>
    </w:rPr>
  </w:style>
  <w:style w:type="character" w:customStyle="1" w:styleId="20">
    <w:name w:val="页脚 Char"/>
    <w:basedOn w:val="13"/>
    <w:link w:val="8"/>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45392.5937500016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2024-04-10T14:33:31Z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EA60E786B9B1C496BB321666782D0B4C</vt:lpwstr>
  </property>
</Properties>
</file>