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12152500MB1G73791B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锡林郭勒盟乡村振兴局综合保障中心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6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6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锡林郭勒盟乡村振兴局综合保障中心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机关提供决策支持、技术支撑、运转保障。防致贫返贫监测，建档立卡数据、项目、资金使用数据分析和预测；贫困数据平台运维，贫困数据和边缘人口数据调查、收集、统计、分析、动态监测；项目发展及有关政策研究、咨询服务、风险防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锡林浩特市开发区交通投资大厦16层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锡林高娃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8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锡林郭勒盟乡村振兴局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.0047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.0038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锡林郭勒盟乡村振兴局综合保障中心.公益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锡盟乡村振兴局综合保障中心严格执行本单位章程，在章程规定的宗旨和业务范围内开展活动，2023年具体开展业务活动情况总结如下： 加强防止返贫致贫动态监测和帮扶。按季度开展动态监测工作，四季度动态调整后，全盟有脱贫人口2.18万户4.85万人，监测对象1320户2504人。 协助做好资金使用数据分析。2023年，乡村振兴系统下达各旗县市（区）衔接资金6.56亿元，共实施项目233个，其中：产业类项目156个5.37亿元（投入产业资金比例为81.8%，达到了上级60%的要求），乡村建设类项目46个0.97亿元，其它类（防贫保险、小额信贷贴息、雨露计划等）项目31个0.22亿元。全盟入库项目781个，投资概算28.89亿元，其中：产业发展类项目428个，巩固“三保障”成果类项目25个，就业类项目29个，乡村建设类项目254个，乡村治理类项目2个，易地扶贫搬迁后续扶持项目6个，项目管理费类项目37个。全盟村级光伏帮扶电站收益共计2106万元，已分配收益1116万元，分配率53.6%。协助开展京蒙协作资金项目分析，2023年，京蒙协作北京市三级财政帮扶资金到位1.5亿元，实施项目47个，其中市级援助资金1.01亿元、项目21个，结对区援助资金0.49亿元、项目26个。协助做好务工就业数据统计工作，2023年全盟脱贫人口实现务工就业9073人，完成年度目标任务的100.81%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刘玉欢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15048948422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2024年01月11日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F7FD5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hps"/>
    <w:basedOn w:val="13"/>
    <w:uiPriority w:val="0"/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45392.5937500016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2024-04-10T14:33:45Z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DF4B7C2193F9F6F7C93216666AB76C11</vt:lpwstr>
  </property>
</Properties>
</file>