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12152500MB1G72131U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锡林郭勒盟知识产权保护中心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加强对知识产权的有效保护，激发企业和个人的创新潜能。知识产权保护协作、维权援助、分析评议、预警服务、专利信息的统计分析、专利资助，知识产权公益研讨、宣传、培训，商标品牌战略实施和区域公共品牌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内蒙古锡林郭勒盟锡林浩特市经济技术开发区阿巴嘎街5号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王永泰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12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6.4288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5.0821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锡林郭勒盟知识产权保护中心.公益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是建章立制。由办公室牵头，完善中心上岗考勤、请销假、财务等工作制度，汇编成册并具体执行。二是强化党组织建设工作。积极开展支部名称变更后的衔接工作，深入开展党史学习教育，加强支部各项工作有效推进。三是积极开展培训学习。沟通盟局相关科室，通过聘请老师现场授课、视频学习、自学等方式对知识产权相关业务知识进行集中培训学习，保证中心工作人员有效提升自身素质，提高业务水平，能够及时开展工作。四是加强知识产权信息平台建设。于2021年9月完成知识产权信息平台基础建设工作，现已开通多个线上板块，截止2023年底，平台已基本完善并正常运作。 五是加快日常工作开展。各科室已对自身业务完成初步了解及调研，并拟定相关业务工作计划，相关知识产权保护工作开始开展。六是成立各旗县分工作站，于2023年12月底在阿巴嘎旗、东乌旗、乌拉盖、多伦、蓝旗、宝昌等多个旗县成立分工作站，并举行挂牌仪式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孟凡强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15247951818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2024年01月17日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CFB6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45392.5937500016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2024-04-10T14:33:51Z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8C3E884216B55F19CF32166615CFCB33</vt:lpwstr>
  </property>
</Properties>
</file>