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12152500MB1G28843F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锡林郭勒盟医疗保障综合行政执法支队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锡林郭勒盟医疗保障综合行政执法支队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依法以锡林郭勒盟医疗保障局的名义开展行政执法工作、受理医疗保障违法案件的投诉、举报。承担法律法规直接赋予本级的执法职责，组织查处辖区内跨区域和具有重大影响的复杂案件、锡林浩特市辖区医疗保障日常执法工作；指导全盟医疗保障综合行政执法体系建设、业务工作、组织协调、监督考核等工作；依法落实综合行政执法与主管部门、刑事司法衔接机制、促进部门联动和协调配合；加强综合行政执法科技和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内蒙古锡林浩特市新区交通投资大厦4楼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20.79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锡林郭勒盟医疗保障综合 行政执法支队.公益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2023年度我单位认真执行《单位单位登记管理暂行条例》及 《单位单位登记管理暂行条例实施细则》,根据有关法律、法 规和政策，严格按照核准登记的宗旨和业务范围开展活动。本年度未行变更登记。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2023年盟医疗保障综合行政执法支队在盟医疗保障局的坚强领导下,坚持以习近平新时代中国特色社会主义思想为指导，全面贯彻落实党中央、国务院、自治区党委政府、盟委行署和国家医疗保障局、自治区医疗保障局、盟医疗保障局关于医疗保障基金监管的决策部署，以党的建设为引领，全力做好行政执法检查，持续推进执法信息化建设，积极开展医保政策宣传，稳步提升我盟医保执法工作质效，切实保障医保基金平稳运行。 2023年执法支队不断加强党的建设，党的二十大召开以来，盟医疗保障综合行政执法支队组织全体职工认真聆听习近平总书记所作的报告，集体学习《中共中央关于认真学习宣传贯彻党的二十大精神的决定》《中国共产党第二十次全国代表大会关于十九届中央委员会报告的决议》《中国共产党第二十次全国代表大会关于〈中国共产党章程（修正案）〉的决议》。一是严格执行廉政规定，执法支队组织全体干部职工认真研读《中国共产党廉洁自律准则》《关于新形势下党内政治生活的若干准则》等各项党内法规，积极参与盟医疗保障局组织的廉政学习及警示教育，准确把握全面从严治党要求，严格执行中央八项规定精神，切实筑牢拒腐防变思想防线，努力培养健康生活情趣，守住做人、处事、用权、交友底线，坚决不触碰法纪红线。二是深入规范政治生活，认真落实“三重一大”“民主集中制”等各项制度，坚持科学民主依法决策，抓好重大事项请示报告。工作中定期进行提醒谈话，不断增强廉政意识，做到不该去的地方坚决不去，不该做的事坚决不做，不该拿的坚决不拿。三是组织深入学习习近平总书记重要讲话重要指示精神。医保基金是老百姓的“看病钱”“救命钱”，维护医保基金安全不仅是落实习近平总书记的重要指示批示精神、也是全盟医保及相关部门和全社会的共同责任。四是积极开展主题教育学习，将主题教育的学习成效转化为改造主观世界、加强党性修养的生动实践，转化为推动高质量发展的工作思路、政策措施和实践成果，不断提高政治判断力、政治领悟力、政治执行力，始终在思想上政治上行动上同以习近平同志为核心的党中央保持高度一致，积极参与主题教育学习班、交流研讨会等活动，在深学细悟中提高理论素养、坚定理想信念，坚持不懈用习近平新时代中国特色社会主义思想凝心铸魂。 一是全力做好“双随机、一公开”监管工作。按照《锡林郭勒盟医疗保障局关于印发〈锡林郭勒盟医疗保障局“双随机、一公开”监管工作实施方案〉的通知》（锡医保发〔2023〕8号）要求，3月28日-29日盟医疗保障综合行政执法支队联合盟市场监督管理局对锡林浩特市随机抽取的15家定点零售药店开展“双随机、一公开”部门联合抽查行动。联合抽查行动中，两部门执法人员各司其职、密切配合、协同工作；3月29日-4月3日盟医疗保障综合行政执法支队对锡林浩特市地区随机抽取的2家定点医疗机构、34家定点零售药店开展“双随机、一公开”内部抽查检查工作。盟医疗保障综合行政执法支队执法人员通过现场检查、询问了解、查阅系统及档案资料等方式，对被抽取的定点医疗机构、定点零售药店自觉遵守医保相关法律法规、严格履行医保定点管理服务协议、规范提供药品服务、合理使用医保基金、引导参保人员激活使用医保电子凭证等情况进行了“一次抽查、全面体检”。截至目前，内部双随机抽查完成率100%，联合双随机抽查完成率100%，部门抽查事项清单开展率（覆盖率）100%。 二是加大日常监管力度。截止10月底锡林浩特市地区469家定点医药机构开展日常监督检查全覆盖工作。以查看定点医药机构进销存明细、翻阅处方、数据分析、现场询问等方式，通过比对东软云药店管理系统、进销存系统、HIS系统相关数据，履行医保协议、落实医疗保障政策、就医购药、医疗服务等情况进行了重点检查。支队严格履行行政执法流程，对80家被检查单位均下达了《行政检查告知书》《行政检查登记表》，对检查中发现的问题，现场制作了《责令停止违法行为/改正违法行为通知书》，并及时向被检查单位进行反馈，明确整改措施，限期整改到位后，制作《整改复查意见书》。 三是密切配合、协同工作。配合盟局开展2023年全区医保基金监管集中宣传月活动，围绕“安全规范用基金 守好人民看病钱”宣传主题，结合基金监管工作实际，广泛宣传解读医疗保障基金监管法律法规和政策规定，发放宣传海报、宣传折页和医保政策问答手册，确保《医疗保障基金使用监督管理条例》落地见效；配合盟局口腔种植专项督查组，对开展口腔种植服务的医疗机构进行实地督导检查，确保口腔种植专项治理工作在我盟落地落实，保障广大患者及时享受改革成果。通过查询口腔门诊收费系统，查阅口腔种植病历等方式，了解各医疗机构政策执行后口腔种植医疗服务价格项目收费、患者实际费用及价格公示等情况，同时听取各医疗机构关于口腔种植牙工作的意见建议，对医疗机构提出的问题进行答疑解惑和政策宣传；协同盟市两级医疗保险服务中心开展跨省异地就医直接结算政策集中宣传活动。通过在锡盟中心医院、锡盟国际蒙医医院张贴海报，发放宣传手册等方式，开展跨省异地就医直接结算政策集中宣传活动；随盟医保局领导带队督导组深入白旗等地对基层医保服务站建设情况等医保重点工作进行实地督导调研；协同盟医疗保险服务中心对涉及反欺诈线索定点医疗机构进行核查，并按要求及时上报反馈核查情况；9月-10月协同盟医疗保险服务中心对锡林浩特市地区两定医药机构进行2023年度两定机构协议履行情况核查，共计检查定点医药机构469家，其中定点医疗机构90家，定点零售药店379家。 四是持续做好定点医药机构档案日常更新维护工作。 （三）执法信息化建设不断完善。 一是确保医保基金监管智能审核系统疑点数据初审工作稳妥有序常态化进行。 二是实时对全盟行政执法信息公示平台进行信息维护。 三是加强行政执法人员资格管理。根据《内蒙古自治区行政执法证件管理办法》《内蒙古自治区行政执法证件管理办法实施细则》和自治区司法厅的有关要求，截止6月底盟医疗保障综合行政执法支队在编人员全部通过行政执法人员资格认证考试。 四是做好国家医疗保障局反欺诈大数据监管业务经办工作。 （四）基金监管宣教工作积极推进。 执法支队在执法检查过程中广泛宣传基金使用和监管政策、措施及医保领域相关惠民政策规定，强化定点医药机构和参保人员法律意识，引导和动员社会力量广泛参与到医保基金监管工作当中，充分利用执法+指导的方式对定点医药机构进行现场培训，现场培训定点医药机构从业人员1200余人。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陈子涵</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13948796016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FF3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2024-04-10T14:34:27Z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5F4C866DAB13F7FEF3321666131F1F5B</vt:lpwstr>
  </property>
</Properties>
</file>