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12152500MB1G65572P</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锡林郭勒盟住房和城乡建设事业发展中心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锡林郭勒盟住房和城乡建设事业发展中心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承担全盟住房和城乡建设领域的技术支撑、服务保障、政策咨询等工作。承担建筑市场、房地产市场、住房保障、物业、城乡建设等领域服务保障和辅助性工作；承担建筑工程、城市精细化管理、城镇市政基础设施等方面的技术支撑和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锡林郭勒盟锡林浩特市阿巴嘎街17号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樊晓春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8</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锡盟住房和城乡建设局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102.3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99.29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锡林郭勒盟住房和城乡建设事业发展中心.公益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一、工作开展情况 （一）落实基层党建重点任务 一是及时召开会议，及时传达学习中央、自治区以及盟委、行署有关主题教育安排部署和工作要求，制定了实施方案、工作计划和学习安排，召开中心全体干部职工大会，明确目标任务、时间节点和责任主体，进一步提高了认识，统一了思想，凝聚了共识。全年召开党员大会6次、支部委员会16次。开展党员集中学习18次、交流研讨9次，全体党员撰写心得体会、研讨材料200余篇。坚持全体干部职工集中学习制度，开展了12期集中学习。 二是以主题教育为契机，持续抓好政治理论学习，坚持读原著、学原文、悟原理，自主题教育开展以来制定了党员干部个人自学目标，组织专题研讨8次、专题党课2场、集中学习13次，累计45学时。多措并举认真开展学习教育，把学习成效体现到增强党性、改进作风、推动工作上来。 三是围绕当前工作和支部建设中存在的突出问题深入开展调查研究，深入全盟各旗县市（区）20多个既有建筑现场，通过技术调查、约谈开发企业、督促施工企业履行保修责任的方式妥善解决困难群众的问题，注重边调研、边学习、边对照检查，在调研中深化理解和感悟，在理论联系实际的过程中切实解决了群众急、难、愁、盼的问题。 （二）推动党建与业务工作深度融合 聚焦重点问题，多措并举推进党建与业务工作深度融合，不断激发工作新活力、新效能。一是围绕习近平总书记交给内蒙古的“五大任务”和全方位建设“模范自治区”两件大事目标，认领任务、明晰职责，认真开展安全风险分级管控和隐患排查治理工作。二是把铸牢中华民族共同体意识作为各项工作的主线，全面落实全方位建设模范自治区的《决定》，教育引导全体党员努力在7个方面发挥模范表率作用，开展了铸牢中华民族共同体意识专题党课1场、集中学习活动2次、交流研讨2次，选派青年党员干部参加了铸牢中华民族共同体意识专题培训。 （三）质量工作完成情况 1.贯彻自治区、盟行署“质量强盟”战略部署。一是印发了《锡林郭勒盟2023年建设工程质量强盟工作实施意见》，从严格落实工程参建各方工程质量主体责任、推行工程质量标准化制度、加强工程质量监管力度等方面提出具体要求。二是积极推动建筑工程质量评价工作开展，目前完成5个旗县13项建筑工程的实体质量检测和评价工作，编写了《锡林郭勒盟建筑工程质量评价报告》。 2.落实住建部《质量安全手册制度》。一是印发了《关于进一步落实工程质量安全手册制度的通知》，全面推行手册制度，完善质量安全管理体系，加强培训考核，创建标准化示范工程，提高工程质量。二是分别举办了全盟工程质量安全监督管理高质量发展专题培训和《建筑与市政工程防水通用规范》宣贯培训班，全盟各地工程质量监管、老旧小区项目施工、监理等相关从业技术人员210余人参加培训。三是印发《关于进一步落实工程质量追溯制度的通知》，有效提升工程施工过程质量管控，加强隐蔽工程验收影像资料管理，目前已经在全盟150多项工程项目推广施行。 3.开展“质量月”“防灾减灾”等宣传活动。一是在全国质量月期间组织召开工程质量安全管理标准化示范工程现场会，130名与会人员实地观摩了二连浩特中医院和第四小学迁址新建等示范项目。二是开展全国“防灾减灾”宣传活动，制作了宣传视频和二维码，以微信朋友圈传播和群众手机扫码的形式宣传活动内容，视频播放量900余次；在社区、工地进行现场宣传，发放宣传品500余份。 4.优化营商环境工作。一是印发《关于进一步加强建设工程质量差异化管理的通知》，对建筑工程质量风险等级进行评定，实行差异化监管政策，切实提高工程质量管理水平。按照《通知》要求，建设工程质量差异化管理分为A、B、C三个类别，每个项目在醒目位置设置公示牌。挂牌后质量监督机构根据不同类别采取不同级别的监督管理。截止目前，全盟已有180多个在建项目悬挂了工程质量差异化监管公示牌，实行差异化管理。二是《关于进一步推行建筑工程分段验收的通知》，进一步优化工程建设程序，对规模较大的工程项目，在符合《通知》规定的条件后，可以进行单栋或分段验收，目前全盟住宅小区类的建设项目单栋验收实施率可达到80%以上。 5.工程质量检查工作。一是开展全盟工程质量综合执法检查2次下发执法建议书6份，限期整改通知书11份。二是专项检查预拌混凝土企业11家、工程质量检测机构5家，对家技术力量薄弱、质量管理混乱、存在混凝土生产质量隐患的企业下发了1份执法建议书，6份安全隐患问题整改通知。三是组织全盟建筑工程保温电线、电缆质量专项检查，共抽查建设项目36个，外墙保温材料抽样36组，电线材料抽样18组，下发整改通知书9份，对2工程项目中不合格材料责令退场处理。 6.质量投诉信访处理工作。受理12345平台反映事项16条，全部处理完成；受理人民网反馈信访问题事项8条，全部按程序进行答复；受理来人来访反映事项8条，全部处理完成。 （四）安全工作完成情况 1.指导全盟安全生产工作。编写印发了《关于锡林郭勒盟建设领域安全生产施工分析报告提出意见的整改方案》《关于进一步加强建筑工程安全防护管理工作的通知》《关于召开全盟住建领域安全生产暨复工复产警示教育会议的通知》等40余份通知文件，指导全盟建筑领域安全生产工作。 2.持续强化安全生产教育培训。举办了7期安全生产培训班，覆盖各地建设主管部门、有关企业人员共计3576余人次，开展安全生产人员首次能力考核及继续教育培训工作和全盟建筑施工特种作业人员操作证书延期复核培训线下理论考试。 3.安全生产检查工作。协助配合盟住建局质量安全监督科、盟安委办、自治区住建厅开展安全生产专项检查13次，检查项目966项，下发安全隐患整改通知1300余份；提出建筑安全隐患整改意见5000余条。 4、安全月宣传活动。6月6日在局微信公众号发布《致全盟建筑施工单位的一封信》《2023年安全生产月主题宣传片--筑防》《全员安全生产责任制贯彻》《安全生产法》及十部安全事故警示片等宣传资料；6月8日组织13个旗县市（区）同时开展高空坠落应急演练，通过大数据中心平台连接13个地区APP手机同步在数据中心大屏幕播放施工现场演练情况，并连线现场实时指挥调度，最终实现高效、快速、及时的救援，达到应急演练既定任务目标。6月16日在锡林浩特市南广场开展2023年安全生产宣传咨询日活动，现场发放宣传资料500余份，接受咨询30余人次，随后深入施工现场组织开展应急科普“五个一”宣传活动。 5.推广安责险。6月28日组织13个旗县市召开全盟住建安责险工作培训视频会议，通过对住建安责险信息管理平台操作、承保机构上载安责险信息管理平台相关要求及流程、住建安责险第三方服务机构服务标准的宣讲，实现锡林郭勒盟房屋建筑和市政工程建筑施工安责险全覆盖。 6.参加全区竞赛。组织全盟各地27名专业技术人员参加了住建厅在鄂尔多斯市开展的质量安全标准化观摩培训。同时在自治区建设工程“安康杯”安全生产知识竞赛中取得了全区第三名的好成绩。 7.为全盟重要活动提供安全保障。分别对那达慕大会会场主看台观礼台维修建设项目、锡盟央之夏草原之夜歌会舞台架体项目进行了安全生产检查，发现12条安全隐患，现场监督整改完成。 二、存在的问题 一是党建与业务工作的深度融合还不够紧密。对如何更有效的将机关党建融合进日常业务工作之中、更充分的发挥出党建引领作用做的还不够突出。二是抓党建工作的创新意识还不够强。党员对于创新开展党建工作的意识不强。三是党支部建设还有差距。对党建工作的特色亮点提炼宣传不够，示范效应不够明显。 三、下一步工作计划 一是抓政策落实。对落实自治区、行署和盟局印发的质量提升政策部署加强宣贯培训和督导检查。一是对住建部发布的通用规范系列组织培训学习；二是对党中央、国务院关于质量工作的决策部署落实及时开展宣贯工作；三是对2024年群众反映强烈的质量常见问题专项整治落实情况进行检查督导。 二是质量强盟工作。一是制定2024年质量强盟工作方案；二是继续落实工程质量终身责任制，建立工程质量信息档案；三是积极推动各地参与草原杯申报；四是开展质量执法检查，推动工程参建各方主体落实质量责任。 三是优化营商环境工作。一是持续落实工程质量安全差异化监管制度。二是继续简化优化工程质量日常监管和验收程序，推动质量安全信息化监管平台的应用。 四是深入开展主题教育。准确把握“学思想、强党性、重实践、建新功”的总要求，着力解决六个方面的突出问题，努力在以学铸魂、以学增智、以学正风、以学促干方面取得实实在在的成效。 五是强化作风建设。严格执行《中国共产党廉洁自律准则》《中国共产党纪律处分条例》等党纪，严守财经纪律,严禁违反中央八项规定精神及其实施细则的情况发生。 六是创新工作思路。认真谋划党建工作，坚持以党建为引领，探索推进党建工作与队伍建设、业务发展深度融合，实现各项主要业务快速、高质量发展，不断开创住建工作新局面。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董丽萍</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13947944616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B330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hps"/>
    <w:basedOn w:val="13"/>
    <w:uiPriority w:val="0"/>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2024-04-10T14:34:02Z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25630945FDE48C24DA3216667259EA2A</vt:lpwstr>
  </property>
</Properties>
</file>