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12152500E34830020J</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锡林郭勒盟委组织部党员教育中心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锡林郭勒盟委组织部党员教育中心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承担全盟党员现代远程教育、党员教育信息化建设工作，承担“锡林郭勒党建网”“锡林郭勒党员教育”等媒体平台内容更新和日常管理,运用全媒体方式开展党员教育；负责党员教育蒙汉语教学资源开发管理，盟本级党员教育资源库维护管理，会同有关方面做好党员教育广播电视栏目有关工作；开展党员干部现代远程教育骨干队伍培训等；承担组织工作重要会议、活动和部机关重要工作、活动音像资料的摄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锡林浩特市锡林大街党政大楼9楼西侧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沈祺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1</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锡林郭勒盟组织部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.0029</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锡林郭勒盟委组织部党员教育中心.公益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 xml:space="preserve">（一）加强党员政治理论教育。一是认真做好习近平新时代中国特色社会主义思想、党的二十大精神的学习教育。在党建网站和微信公众号开辟专栏，每日更新学习内容，真正让党员教育“活”起来。二是围绕努力完成习近平总书记交给内蒙古的五大任务和全方位建设“模范自治区”要求，加强铸牢中华民族共同体意识教育。组织各基层党组织和广大党员积极开展线上专题学习，定期上传发布相关新闻报道及视频资料，方便广大党员利用新媒体在线学习。三是加强党性学习教育。在“一网一平台”开设党章党规党纪专栏，持续更新相关内容，引导各基层党组织和广大党员不断强化党性锤炼，增强党性修养。四是持续做好习近平新时代中国特色社会主义思想主题教育的宣传，及时转载习近平总书记关于主题教育的重要讲话，自治区党委、盟委有关主题教育重要文件和会议精神。择优发布各地区各单位在主题教育中的好做法好经验，为主题教育开展营造浓厚学习氛围。 （二）多措并举丰富党员教育资源建设。一是圆满完成自治区安排部署的各项拍摄任务。年初以来，先后配合自治区党员教育中心、北疆先锋栏目组、共产党员栏目组拍摄制作《北疆答卷》《以梦为马》《总书记回信·乌兰牧骑》等专题片，各项保障服务工作得到自治区领导的肯定。协调做好锡林郭勒职业学院郭梁同志典型事迹的拍摄工作，《北大博士回家乡 只为草原乳肉飘香》成功入选“北疆先锋”栏目，并于6月15日在内蒙古卫视新闻综合频道播出。二是高质量完成年度重点拍摄任务。围绕边境党建“点线面”工作法，拍摄制作《千里边疆铸忠诚》党员教育片1部，作为第十七届全国党员教育电视片参赛作品上报自治区党委组织部。总结挖掘全盟基层党组织建设的经验做法，拍摄制作典型事迹纪录片《四个聚焦 书写基层党建新答卷》1部，入选“北疆先锋网”展播栏目。按照中组部要求，围绕纪念抗美援朝胜利70周年，拍摄制作抗美援朝老兵讲故事微视频8部，全部入选学习强国微视频。结合全区“担当作为好干部”工作，拍摄制作“担当作为好干部”党员教育电视系列片5集，在全盟范围内进行了展播，激发了广大党员干部在全盟高质量发展中实干担当、履职尽责、干事创业的工作热情。联合盟委宣传部、锡林郭勒电视台，以全力办好“两件大事”为主题，录制主题党课6节，近期将在锡林郭勒电视台综合频道进行展播。三是积极参加全区第五届党员教育电视片交流观摩活动，整理上报七个类别19部作品，微视频《我们》获得一等奖，《希望之光》《学习“七一”讲话 坚定不移听党话跟党走》等3部作品获得三等奖，自治区党员教育中心奖励10了万元制片补助资金。组织全盟各基层党组织参加全区“献礼七一 我的入党故事党员教育微视频”大赛，联合东乌珠穆沁旗旗委组织部拍摄制作的微视频《永不褪色的徽章》获得优秀作品奖。四是提高自治区下发课件教材的学习成效。组织全盟各基层党组织和广大党员通过多种方式学习观看《北疆答卷·绿色长城》《三千孤儿入内蒙》《党课开讲啦》《北疆党课进行时》《党建知识天天学》等党员教育电视片，协调锡林郭勒广播电视台、盟日报社进行了现场采访，并在全盟各类新媒体平台进行了宣传报道，取得了良好的教育宣传成效。五是拟于11月19日在苏尼特左旗举办“全盟第二届党员教育电视片制片竞赛”，不断提升党员教育电视片制作水平，推进党员教育工作。同时，储备一批优秀党员教育电视片参加“全区党员教育电视片观摩评比”。 （三）认真抓好一网一平台建设。一是提升微信公众号服务功能。“锡林郭勒党员教育”微信公众号信息平台运行平稳，围绕全盟组织系统重点工作，每个工作日以图片、文字、视频等形式，向党员群众发布上级精神、政策理论知识，党建工作典型经验、成功做法等，累计推送图文信息2000余条。二是加强与盟内新媒体平台的合作交流。联合盟广播电视台制作“二十大时光”“电波里的思政课”“我的入党故事”等多个系列节目，同步在锡林郭勒党建网上开设专栏进行展播，拓宽了党员教育渠道。提升了党员教育覆盖面，增强了党员教育实效性。三是抓运维提升站点效能建设。紧紧抓住党建联盟这一基础性、长期性工作，对全盟各地区党建站点运行情况进行了抽查，对信息公开内容不规范、存在链接失效、栏目更新不及时不准确等问题进行督促提醒，要求及时采取措施做出整改，持续加强监测监管，发现用词不规范信息第一时间删除修改。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沈祺</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15904799262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2024年03月21日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D5CB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hps"/>
    <w:basedOn w:val="13"/>
    <w:uiPriority w:val="0"/>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2024-04-10T08:50:08Z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7C2F0DC17D96DED340E21566DFF6C31A</vt:lpwstr>
  </property>
</Properties>
</file>