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5"/>
          <w:b/>
          <w:bCs/>
          <w:sz w:val="30"/>
          <w:szCs w:val="30"/>
          <w:lang w:val="en-US"/>
        </w:rPr>
        <w:t>12152500MB0N37867P</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5"/>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6"/>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20"/>
                <w:rFonts w:hint="eastAsia" w:ascii="楷体_GB2312" w:eastAsia="楷体_GB2312" w:cs="楷体_GB2312"/>
                <w:sz w:val="32"/>
                <w:szCs w:val="24"/>
                <w:bdr w:val="none" w:color="auto" w:sz="0" w:space="0"/>
                <w:lang w:val="en-US"/>
              </w:rPr>
              <w:t>内蒙古锡林郭勒盟行政公署驻北京联络处</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6"/>
                <w:b/>
                <w:bCs/>
                <w:sz w:val="36"/>
                <w:szCs w:val="24"/>
                <w:bdr w:val="none" w:color="auto" w:sz="0" w:space="0"/>
              </w:rPr>
              <w:t>法</w:t>
            </w:r>
            <w:r>
              <w:rPr>
                <w:rStyle w:val="16"/>
                <w:b/>
                <w:bCs/>
                <w:spacing w:val="30"/>
                <w:sz w:val="36"/>
                <w:szCs w:val="24"/>
                <w:bdr w:val="none" w:color="auto" w:sz="0" w:space="0"/>
              </w:rPr>
              <w:t>定代表</w:t>
            </w:r>
            <w:r>
              <w:rPr>
                <w:rStyle w:val="16"/>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内蒙古锡林郭勒盟行政公署驻北京联络处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承担盟委、行署及相关部门在京政务服务和后勤保障；收集上报与锡盟经济社会发展密切相关的信息，内引外联，开展区域经济协作和项目跟踪服务；配合做好进京非访、突发性群体事件的依法处置和劝返维稳工作；承担优秀人才的发现、联系、引进；宣传锡盟经济发展政策和资源优势，推广锡盟知名品牌，扩大锡盟知名度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北京市昌平区小汤山镇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杨文普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201</w:t>
            </w:r>
            <w:r>
              <w:rPr>
                <w:rStyle w:val="17"/>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7"/>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7"/>
                <w:rFonts w:hint="eastAsia" w:ascii="楷体_GB2312" w:eastAsia="楷体_GB2312" w:cs="楷体_GB2312"/>
                <w:sz w:val="28"/>
                <w:szCs w:val="28"/>
                <w:bdr w:val="none" w:color="auto" w:sz="0" w:space="0"/>
                <w:lang w:val="en-US"/>
              </w:rPr>
              <w:t>锡林郭勒盟行署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sz w:val="32"/>
                <w:szCs w:val="24"/>
                <w:bdr w:val="none" w:color="auto" w:sz="0" w:space="0"/>
                <w:lang w:val="en-US"/>
              </w:rPr>
              <w:t>150.08</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7"/>
                <w:sz w:val="32"/>
                <w:szCs w:val="32"/>
                <w:bdr w:val="none" w:color="auto" w:sz="0" w:space="0"/>
                <w:lang w:val="en-US"/>
              </w:rPr>
              <w:t>142.75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锡林郭勒盟行政公署驻北京联络处·公益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20"/>
                <w:sz w:val="32"/>
                <w:szCs w:val="24"/>
                <w:bdr w:val="none" w:color="auto" w:sz="0" w:space="0"/>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2023年我单位严格遵守国家有关法律法规和事业单位登记管理暂行条例及其实施细节的规定，按照宗旨和业务范围开展相关活动，没有涉及业务变更登记的事项，没有违法违规的情况。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7"/>
                <w:rFonts w:hint="eastAsia" w:ascii="楷体_GB2312" w:eastAsia="楷体_GB2312" w:cs="楷体_GB2312"/>
                <w:sz w:val="28"/>
                <w:szCs w:val="24"/>
                <w:bdr w:val="none" w:color="auto" w:sz="0" w:space="0"/>
                <w:lang w:val="en-US"/>
              </w:rPr>
              <w:t>锡林郭勒盟行政公署驻北京联络处 ２０２３年度，锡林郭勒盟行政公署驻北京联络处坚持以习近平新时代中国特色社会主义思想为主导，深入学习贯彻党的二十大和二十届二中全会精神，全面落实盟委、行署各项安排部署，以铸牢中华民族共同体意识为主线，以抓好习近平总书记交给内蒙古的“五大任务”和全方位建设“模范自治区”两件大事为重点，以全面从严治党为统领，统筹做好招商引资、招才引智、政务联络、经济信息收集反馈、信访接劝返等各项工作，积极参加自治区驻京办举办的各类活动，坚决配合做好机构改革工作，圆满完成年度目标任务。 一、２０２３年度工作情况 （一）着力做好招商引资工作。把招商引资作为落实五大任务的重要着力点，聚焦把内蒙古建设成为我国北方重要生态安全屏障、国家重要能源和战略资源基地、国家重要农畜产品生产基地、我国向北开放重要桥头堡等重点内容，对照盟行署关于驻京联络处“对接有效项目线索数量１０个以上，外出招商次数４个以上，牵头推动落地项目数２个以上”的年度目标任务，坚持党组成员带头，全员攻坚，广泛联系对接，深入旗县市区服务，千方百计引进项目。同时，明确２名党组成员及２名工作人员，分别列入盟委、行署农牧业和能源装备制造产业招商引资工作组成员，为全盟招商引资助力服务。全年主动开展招商引资活动２９次，对接中瀚基业（北京）农业控股集团、北京东亚新华投资集团有限公司、北京控股集团有限公司、广东水电二局股份有限公司、必昂擎空（北京）科技有限公司等大型企业７家，服务企业到锡林浩特市、正蓝旗、太仆寺旗、多伦县、东乌旗、正镶白旗、阿巴嘎、苏尼特右旗、苏尼特左旗等旗县市区进行项目调研９次１９天。目前，中瀚基业（北京）农业控股集团中科羊草种植项目正在与正镶白旗对接，计划近期签订项目协议；北京东亚新华投资集团有限公司在东乌旗注册了内蒙古蒙炽国际贸易有限公司，主要从事煤炭及制品销售等业务，正在与东乌旗进行深入对接煤炭物流项目；北京控股集团有限公司、广东水电二局股份有限公司计划在多伦县谋划推进清洁能源制氢项目，已列入多伦县人民政府２０２４年政府工作报告。在主动开展招商引资活动的同时，全年参与盟委、行署和盟直有关部门、旗县市区招商引资活动１４次，包括盟委、行署在京举办的京津冀地区招商引资推介及项目签约仪式、新型环保绿色建材产业专场推介会、能源装备制造产业专场招商推介峰会等活动，为我盟招商引资活动做出了应有贡献。 （二）着力做好招才引智工作。根据北京锡林郭勒企业商会运行实际，主动承担起招才引智工作重任，着力为我盟落实五大任务提供智力支持。重点聚集招商引资和医疗领域开展招才引智工作，积极联系在京商会、医院、企业，与中日友好医院、安贞医院、同仁医院、积水潭医院、阜外医院、北京点医有限责任公司等医院和企业建立合作关系，与北京智慧能源有限公司、北京锡林郭勒企业商会、北京点医有限责任公司就推进招商引资、京锡医疗合作等事项达成一致意见。进一步充实人才专家智库，专家学者和企业家由不到６０人增加到２５６人。 （三）着力做好政务联络工作。为盟级以上领导、盟直部门及各旗县市区到京招商、学习和考察做了大量会前协调、食宿安排、会中服务、会后保障以及在京中转等工作。驻京联络处今年共计接待服务盟级领导２８９次，盟直部门及旗县市区领导１７１次。参与盟委、行署在京举行的重要政务、招商引资、学习培训、中转等联络服务工作１６３次。为我盟代表参加全国“两会”提供了后勤服务保障工作。 （四）着力做好经济信息收集反馈工作。紧扣我盟落实五大任务和全方位建设“模范自治区”两件大事，不断创新工作思路、拓宽信息收集渠道，确保信息采编和报送的实用性、实效性。今年以来，向盟委信息处报送信息９３１条、采用６条，向行署信息处报送信息９３４条、采用８２条，综合排名盟直单位第三组第二名。 （五）着力做好信访接劝返工作。聚焦把内蒙古建设成为祖国北疆安全稳定屏障重要要求，坚持京地信息互通，工作协调联动，积极配合盟信访局做好信访解劝返工作。２０２３年度，接劝返我盟进京走访人员３３１批３６３人次，社会面１０批１５人次，外围核查２７批３２人次，其中国家局登记１５５批１６９人次，涉法涉诉人员１３９批１４７人次，圆满完成２０２３年全国“两会”期间我盟信访安全保障工作，实现自治区“三个不发生”目标，受到了自治区信访联席会议的书面表扬。高质量完成了２０２３年北戴河暑期间，与一带一路国际合作高峰论坛的信访安全保障工作任务。 （六）着力做好铸牢中华民族共同体意识工作。坚持把铸牢中华民族共同体意识作为全方位建设“模范自治区”的重要内容，全面落实各项工作内容。结合党组理论中心组和支部学习，组织干部职工持续深入学习习近平总书记关于加强和改进民族工作的重要思想、中央民族工作会议精神《铸牢中华民族共同体意识应知应会手册》等相关内容，不断增强干部职工铸牢中华民族共同体意识的政治自觉、思想自觉和行动自觉。结合创建全国民族团结进步示范盟工作，大力开展民族团结进步活动月、民族政策宣传月等活动，积极组织开展知识竞赛活动，全方位做好学习宣传贯彻中央民族工作会议精神、党的民族理论政策和民族法律法规等工作。组织干部职工２次赴中国共产党早期北京革命活动纪念馆（蒙藏学校旧址）暨中华民族共同体体验馆开展集体学习，集中观看《学习贯彻马克思主义国家观、铸牢中华民族共同体意识》专题宣讲，推动干部职工带头铸牢中华民族共同体意识。 （七）着力做好法治建设工作。全面深入贯彻落实习近平法治思想，严格按照《２０２３年全盟普法与依法治理工作要点》文件要求，立足驻京联络处实际情况，认真落实法治建设各项工作措施，创新工作思路、改进工作方法、推动法治建设。一是压实法治责任。坚持由驻京联络处党组书记、主任为组长，党组成员、副主任为副组长，各科室负责人为成员的法治建设领导小组工作机制，不断巩固提高主要领导负责抓、分管领导具体抓、科室负责人配合抓的工作局面。将法治建设纳入年度工作计划，与驻京业务工作同部署、同推进。研究制定《锡盟行署驻北京联络处２０２３年普法与依法治理工作要点》，明确２０２３普法与依法治理工作年度６大类１６项具体任务。二是强化法治教育。党支部围绕法治教育开展学习６次，组织党员干部重点学习了习近平法治思想、《中华人民共和国宪法》、《内蒙古自治区促进民族团结进步条例》等内容，干部职工法律素养持续提升。在蒙藏学校旧址开展铸牢中华民族共同体意识主题党日活动２次，组织引导干部职工深入学习感悟党的民族政策和法律法规知识，加深理解，进一步树牢民族法治理念。在西柏坡开展迎七一主题党日活动中，组织干部职工认真参观中共中央旧址、西柏坡纪念馆、廉政教育馆、国家安全教育馆，通过讲解员讲解各种图片和实物，观看教育视频等方式，更加深入地学习了解党的二十大精神、党内法规、国家安全法、保密法等内容，让法治融入精神触及灵魂。三是加强普法宣传。组织开展了“八五”普法规划中期检查评估工作，对锡盟行署驻京联络处２０２１年以来“八五”普法规划落实情况进行回头看，形成专题报告并上报盟司法局。结合“４．１５”全民国家安全教育日，通过集中学习、网上答题、线下测试、展板宣传等形式，对国家安全法进行了普法宣传。组织开展了“美好生活·民法典相伴”普法宣传活动，通过集中学习、答题测试、展板宣传等形式，对民法典进行了普法宣传。组织开展了“民族政策宣传月”“民族法治宣传周”主题宣传活动，通过在蒙藏学校旧址举办主题党日、开展铸牢中华民族共同体意识理论测试、张贴“中华民族一家亲　同心共筑中国梦”横幅等形式，对党的民族政策和法律法规知识进行了普法宣传。四是依法行政。认真贯彻民主集中制原则，凡涉及重大决策、重要干部任免、重要项目安排及大额资金使用的事项，均召开联络处党组会议集体讨论决定。坚持公布党务、政务应公示的内容，严格公开程序，健全公开机制，主动接受群众监督，强化党内监督，切实提高执政能力。坚持领导干部述职述廉和重大事项报告制度，认真落实党风廉政建设责任制，严格对日常发文和重大决策合法合规性的把关和审查，确保党的法规在驻京联络处执行到位。 （八）着力做好配合自治区驻京办工作。牢固树立大局意识，积极主动接受自治区驻京办工作领导和业务指导。全年参加内蒙古自治区和浙江省两地驻京机构在京签署战略合作框架协议会议，“生态内蒙古　绿色好味道”京蒙农畜产品流通合作推介会，京蒙文旅产业协作招商暨内蒙古冬季旅游推介活动会、内蒙古自治区与京津冀地区高校、企业签署人才项目和科创成果转化合作协议活动等双招双引会议、活动６次，不断促进与先进地区合作，着力发现招商引资和招才引智机遇。配合自治区驻京办完成在京销售锡盟农畜产品企业经营统计、“双招双引”联络员聘任管理等工作，先后选派４名干部参加内蒙古自治区驻京办事处在上海举办的全区驻京机构招才引智工作培训班、在杭州成功举办全区驻京机构招商引资工作培训班，提升招商引资和招才引智能力。 （九）着力做好机构改革工作。坚决支持盟委、行署关于驻京联络处机构改革决策部署，推动干部职工思想上正确认识机构改革、人员进退流转等事宜，行动上主动配合清产核资、编办调研等工作。目前，已完成清产核资、解除《土地承租协议》、聘用人员解除合同等工作，盟编办已调整制定驻京联络处三定方案。改革期间，机构人员稳定，工作未受影响。 （十）着力做好全面从严治党各项工作。严格履行第一责任人责任，从严从实抓好全面从严治党各项工作。一是抓好政治建设。严格落实“第一议题”制度，学习习近平总书记重要讲话和重要指示批示精神２０次。扎实开展学习贯彻习近平新时代中国特色社会主义思想主题教育。开展党组集中学习１２次，举办读书班４期９天，集中研讨１５次，党组成员讲党课５次。围绕调查研究、招才引智两大重点工作开展调查研究，形成调研报告２个，解决问题２个。着力为民办实事好事，积极为来京就医群众提供医院信息、就诊咨询等服务，４０余人受益</w:t>
            </w:r>
            <w:r>
              <w:rPr>
                <w:rStyle w:val="17"/>
                <w:rFonts w:hint="eastAsia" w:ascii="楷体_GB2312" w:eastAsia="楷体_GB2312" w:cs="楷体_GB2312"/>
                <w:sz w:val="28"/>
                <w:szCs w:val="24"/>
                <w:bdr w:val="none" w:color="auto" w:sz="0" w:space="0"/>
                <w:lang w:val="en-US"/>
              </w:rPr>
              <w:t xml:space="preserve">。检视问题３个，全部整改完成。二是抓好思想建设。围绕习近平新时代中国特色社会主义思想和党的二十大精神，组织开展理论中心组学习２６次、开展专题研讨２２次，组织线上学习７次，宣讲党的二十届二中全会精神２次，组织干部职工到西柏坡、延安、蒙藏学校旧址等红色教育基地参观学习，推动干部职工忠诚践行“三个务必”。严格落实意识形态工作责任制，未发生意识形态领域事件。三是抓好组织建设。认真落实组织生活制度，召开支部委员会会议８次、党员大会３次、主题党日１３次，持续加强退休党员学习和管理，定期开展党费收缴工作。加强干部教育培训，党组班子成员脱产参加了全盟县处级干部学习贯彻党的二十大精神专题轮训班等线上线下学习培训，全部顺利结业。组织干部职工收看学习内蒙古干部网络学院“北疆云课堂”直播培训１６期，参加自治区驻京办举办贯彻习近平新时代中国特色社会主义思想主题教育“学习大讲堂”５期。招录事业单位工作人员１名，进一步强化力量。四是抓好党风廉政建设和反腐败工作。持续深入落实中央八项规定精神，坚决不踩红线、不触底线。健全完善公务用车管理制度与保养维护报销制度，车辆使用更加规范。全力抓好派驻纪检组检查指出的问题整改工作，召开党组会议３次，全部按时保质完成整改任务。开展警示教育２次，组织干部职工深入西柏坡廉政教育馆参观学习，筑牢干部职工思想防线。制定党风廉政建设和反腐败工作年度工作要点和责任清单，严格落实“三重一大”集体决策、党务公开等制度，强化岗位权力廉政风险防控，持续规范权力运行和监督。 二、２０２４年工作 坚决服务盟委、行署机构改革大局，全力做好机构改革后续工作。推动干部职工坚持履职尽责，按照最新三定方案要求，全力做好信访接劝返、政务联络、经济信息收集反馈等工作，展现新形象、实现新作为。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20"/>
          <w:rFonts w:hint="eastAsia" w:ascii="楷体_GB2312" w:eastAsia="楷体_GB2312" w:cs="楷体_GB2312"/>
          <w:sz w:val="28"/>
          <w:szCs w:val="28"/>
          <w:lang w:val="en-US"/>
        </w:rPr>
        <w:t>方晓亮</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20"/>
          <w:rFonts w:hint="eastAsia" w:ascii="楷体_GB2312" w:eastAsia="楷体_GB2312" w:cs="楷体_GB2312"/>
          <w:sz w:val="28"/>
          <w:szCs w:val="28"/>
          <w:lang w:val="en-US"/>
        </w:rPr>
        <w:t xml:space="preserve">18500345670  </w:t>
      </w:r>
      <w:r>
        <w:rPr>
          <w:rFonts w:hint="eastAsia" w:ascii="楷体_GB2312" w:eastAsia="楷体_GB2312" w:cs="楷体_GB2312"/>
          <w:b/>
          <w:bCs/>
          <w:sz w:val="28"/>
          <w:szCs w:val="28"/>
          <w:lang w:eastAsia="zh-CN"/>
        </w:rPr>
        <w:t>报送日期：</w:t>
      </w:r>
      <w:r>
        <w:rPr>
          <w:rStyle w:val="20"/>
          <w:rFonts w:hint="eastAsia" w:ascii="楷体_GB2312" w:eastAsia="楷体_GB2312" w:cs="楷体_GB2312"/>
          <w:b/>
          <w:bCs/>
          <w:sz w:val="28"/>
          <w:szCs w:val="28"/>
          <w:lang w:val="en-US"/>
        </w:rPr>
        <w:t>2024年03月18日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1523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8"/>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4"/>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眉 Char"/>
    <w:basedOn w:val="13"/>
    <w:link w:val="9"/>
    <w:locked/>
    <w:uiPriority w:val="0"/>
    <w:rPr>
      <w:rFonts w:hint="default" w:ascii="Times New Roman" w:hAnsi="Times New Roman" w:eastAsia="宋体" w:cs="Times New Roman"/>
      <w:sz w:val="18"/>
      <w:szCs w:val="18"/>
    </w:rPr>
  </w:style>
  <w:style w:type="character" w:customStyle="1" w:styleId="15">
    <w:name w:val="font21"/>
    <w:basedOn w:val="13"/>
    <w:uiPriority w:val="0"/>
    <w:rPr>
      <w:rFonts w:hint="default" w:ascii="Times New Roman" w:hAnsi="Times New Roman" w:eastAsia="楷体_GB2312" w:cs="Times New Roman"/>
      <w:sz w:val="30"/>
      <w:szCs w:val="24"/>
    </w:rPr>
  </w:style>
  <w:style w:type="character" w:customStyle="1" w:styleId="16">
    <w:name w:val="font51"/>
    <w:basedOn w:val="13"/>
    <w:uiPriority w:val="0"/>
    <w:rPr>
      <w:rFonts w:hint="eastAsia" w:ascii="黑体" w:hAnsi="宋体" w:eastAsia="黑体" w:cs="黑体"/>
      <w:sz w:val="36"/>
      <w:szCs w:val="24"/>
    </w:rPr>
  </w:style>
  <w:style w:type="character" w:customStyle="1" w:styleId="17">
    <w:name w:val="font71"/>
    <w:basedOn w:val="13"/>
    <w:uiPriority w:val="0"/>
    <w:rPr>
      <w:rFonts w:hint="default" w:ascii="Times New Roman" w:hAnsi="Times New Roman" w:eastAsia="楷体_GB2312" w:cs="Times New Roman"/>
      <w:sz w:val="28"/>
      <w:szCs w:val="24"/>
    </w:rPr>
  </w:style>
  <w:style w:type="character" w:customStyle="1" w:styleId="18">
    <w:name w:val="页脚 Char"/>
    <w:basedOn w:val="13"/>
    <w:link w:val="8"/>
    <w:locked/>
    <w:uiPriority w:val="0"/>
    <w:rPr>
      <w:rFonts w:hint="default" w:ascii="Times New Roman" w:hAnsi="Times New Roman" w:eastAsia="宋体" w:cs="Times New Roman"/>
      <w:sz w:val="18"/>
      <w:szCs w:val="18"/>
    </w:rPr>
  </w:style>
  <w:style w:type="character" w:customStyle="1" w:styleId="19">
    <w:name w:val="hps"/>
    <w:basedOn w:val="13"/>
    <w:uiPriority w:val="0"/>
  </w:style>
  <w:style w:type="character" w:customStyle="1" w:styleId="20">
    <w:name w:val="font61"/>
    <w:basedOn w:val="13"/>
    <w:uiPriority w:val="0"/>
    <w:rPr>
      <w:rFonts w:hint="default" w:ascii="Times New Roman" w:hAnsi="Times New Roman" w:eastAsia="楷体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45392.3437500016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2024-04-10T08:49:58Z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AAE502584E5B904336E215661D128DED</vt:lpwstr>
  </property>
</Properties>
</file>