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12152500MB0R455615</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锡林郭勒盟妇女儿童服务中心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锡林郭勒盟妇女儿童服务中心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承担女性社会化组织孵化工作，为妇女主题社会活动提供服务；开展儿童社会主义核心价值观教育和全盟妇女儿童状况专题研究相关工作，协同推进儿童科学文化素质教育工作和推动妇女儿童事业全面发展。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锡林浩特市锡林大街党政大楼11楼西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孙荣华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.038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锡林郭勒盟妇女儿童服务中心.公益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锡盟妇女儿童活动中心是锡盟妇联为妇女儿童提供服务的综合性示范窗口和平台，也是锡盟妇联家庭教育创新实践基地和女性社会组织培育基地。中心自2019年10月启用以来，始终坚持“服务社会、服务妇女儿童、服务家庭”宗旨，不断优化职能，提高服务质量，努力建设妇女儿童学习交流、愉悦身心、收获幸福的美好家园。 2023年4月，锡林浩特市城市阅立方家庭亲子阅读体验馆启用，建立了集儿童阅读学习区、绘本体验区和幼儿游乐区为一体的文化众享空间，启发儿童智慧、熏陶儿童情操、为广大家庭提供亲子阅读指导服务。依托相关培训机构先后开设了口才、书法、绘画、跆拳道等儿童培训课程；依托相关社会组织开展了家庭教育、亲子阅读、心理健康、法律维权、矛盾纠纷调解、关爱帮扶等各类活动和服务。围绕“关注女性、关爱儿童、服务家庭”开展多层次、多形式的理论政策宣讲、家庭教育讲堂、巾帼读书会、亲子阅读等各类有益于妇女儿童身心健康、寓教于乐、丰富多彩的活动。目前累计开展活动1400余场次，服务15000余人。2023年9月底，举办活动408场，参与人数4032名，10月--12月，星期天课堂一个月4次，每次参加活动30余人，一个月120余人，后三个月星期天课堂共12次活动，参与人数360余人；巾帼读书会举办3次活动，每期40人，共120人。（星期天课堂全年开展活动48次，参与人数4*12*30=1440名；巾帼读书会全年开展10期，参与人数400名）。 活动中心作为女性社会组织培育孵化基地，为妇女发展、婚姻生活、身心健康提供服务。盟妇联所属团体会员锡盟家庭教育促进会、锡盟关爱未成年人心理健康协会、锡盟温馨驿站婚姻家庭建设协会、锡盟关爱未成年人心理健康协会儿童友好空间等公益社会组织入驻。同时中心打造家风家教、铸牢中华民族共同体意识主题文化墙，宣传家庭文明新风尚，宣传党的民族政策，教育引导广大妇女和家庭铸牢中华民族共同体意识。 活动中心先后被全国妇联、自治区妇联命名为“家庭教育创新实践基地”、被自治区妇联命名为“全区铸牢中华民族共同体意识家庭教育基地”，被全国妇联评为“巾帼文明岗”。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伊日贵</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18747450815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2024年03月05日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DF62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hps"/>
    <w:basedOn w:val="13"/>
    <w:uiPriority w:val="0"/>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2024-04-10T08:48:48Z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09B20CE0BC383AF6F0E11566E019F418</vt:lpwstr>
  </property>
</Properties>
</file>