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8"/>
          <w:b/>
          <w:bCs/>
          <w:sz w:val="30"/>
          <w:szCs w:val="30"/>
          <w:lang w:val="en-US"/>
        </w:rPr>
        <w:t>12152500MB1F9855XK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8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锡林郭勒盟应急管理综合行政执法支队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5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锡林郭勒盟应急管理综合行政执法支队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依法以盟应急管理局名义进行执法。应急管理、安全生产、地震等方面的行政处罚以及相关执法职能的行使；法律法规直接赋予本级的执法职责，辖区内跨区域和具有重大影响的复杂案件的查处；全盟应急管理综合行政执法队伍业务指导、组织协调、监督考核；全盟应急管理综合行政执法体系以及科技和信息化建设；应急管理违法案件投诉、举报的受理；执法队伍建设、执法人员培训、相关法律法规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锡林郭勒盟人民检察分院401室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海立冬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5</w:t>
            </w: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9.79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4"/>
                <w:sz w:val="32"/>
                <w:szCs w:val="32"/>
                <w:bdr w:val="none" w:color="auto" w:sz="0" w:space="0"/>
                <w:lang w:val="en-US"/>
              </w:rPr>
              <w:t>16.88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锡林郭勒盟应急管理综合行政执法支队.公益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2023年度我单位认真执行《事业单位登记管理暂行条例》及《事业单位登记暂行条例实施细则》，根据有关法律、法规和政策，严格按照核准登记的宗旨和业务范围开展活动。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综合行政执法支队统筹部署全年执法工作，制定了《锡林郭勒盟应急管理综合行政执法支队2023年度安全生产执法检查计划》，按照计划共对12户重点执法企业，8户一般执法企业开展执法检查，如期完成计划工作任务。共下达责令限期整改指令书15份，整改复查意见书19份，行政处罚告知书18份，行政处罚决定书18份，行政处罚95.7万元。“安全评估+执法”完成方面，支队配合非煤科、危化科、工贸科对全盟15户非煤矿山企业、6户危险化学品企业、2户陆上石油开采企业、3户金属冶炼企业开展“安全评估+执法”，共立案28起，行政处罚共263.25万元。综合全年各类执法工作，支队共进行执法检查33次，累计立案42起，其中非煤矿山22起、危险化学品10起、陆上石油开采2起、冶金工贸6起，安全评价机构2起。全年共计处罚310.6万元。二、持续推进安全生产执法案例报送工作。根据应急管理部、自治区应急管理厅有关工作要求，支队实行月通报制度，有效督促提醒各旗县市（区）按照要求如期报送。2023年，盟本级及13个旗县市（区）的“互联网+”安全生产执法案例报送工作均达到报送率、合格率“双一百”。三、全面开展“双随机、一公开”抽查工作制定了《2023年度“双随机、一公开”抽查工作计划》，含6个本部门抽查计划和1个跨部门联合抽查计划，均全部完成。配合盟交通局、气象局开展了3次联合抽查工作，对11户危货运输企业、3户旅客运输企业及8户加油站完成了联合抽查。2023年，盟应急管理局随机抽查事项清单覆盖率和事项清单联合率均达到100%。四、扎实做好安全生产投诉举报受理工作2023年，共受理各类安全生产投诉举报案件5起，其中自治区应急管理厅交办举报投诉案件5起，均已办理结案4起。并按季度完成全盟安全生产举报信息统计上报工作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>赵明皓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 xml:space="preserve">18704790788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6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2024年03月06日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D4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9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5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6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7">
    <w:name w:val="hps"/>
    <w:basedOn w:val="13"/>
    <w:uiPriority w:val="0"/>
  </w:style>
  <w:style w:type="character" w:customStyle="1" w:styleId="18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9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2024-04-10T08:44:37Z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709D6A62A72B8325F5E01566B6126833</vt:lpwstr>
  </property>
</Properties>
</file>