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12152500MB1F52973H</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锡林郭勒盟人力资源服务中心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锡林郭勒盟人力资源服务中心（锡林郭勒盟公务员考试测评中心）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为人力资源开发、管理提供服务。全盟人才队伍建设、流动人员人事人才公共服务，全盟政府系统事业单位人事管理相关辅助性工作，盟本级事业单位人员培训、专业技术人员继续教育培训，党政机关公务员录用考试、事业单位公开招聘考试、各类专业技术资格考试和辅助性考试、职业技能鉴定考试，行署直属事业单位、行署工作部门所属事业单位及盟直党政群机关、参公事业单位工勤人员和流动人员人事档案管理，人力资源和社会保障系统信访、劳动人事争议投诉案件的协调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内蒙古自治区锡林郭勒盟锡林浩特市锡林大街西段11号劳动和社会保障大厦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照日格其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400</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287</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锡林郭勒盟人力资源服务中心.公益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本年度共进行变更登记：2（次） 变更登记的时间：1.2023年3月、2.2023年10月 变更登记的原因：1.职务变动、2.人员调动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具体业务活动及取得的主要社会效益和经济效益： （一）重点任务指标完成情况。2023年新增高技能人才（获证人数）2212人，完成全盟年度计划的158%；新增技师高级技师1188人，完成全盟年度计划的237.6%，超额超前完成了2023年自治区高技能人才指标任务。 （二）考试考务工作。一是2023年组织完成人事考试50次，考生91604人，实现稳定就业2305人。资格审核26项5467人，减免报名费用6次涉及考生1102人，资金84640元。二是推行“无纸化”面试，实现面试全流程信息化核分，压缩考试成本，提高工作效率，目前共“无纸化”面试8场，涉及考生230人。三是建成盟级考试指挥平台，并与职业学院、锡市一中、锡市三中、锡盟二中实现了作弊防控、监控、巡查等功能互联互通，覆盖330个考场，可容纳考生9900余名。四是认真贯彻落实行署第18次常务会议精神，采取有效措施，降低考试成本，提高资金使用效益，在工作量较上年增加47.65%的情况下，节约资金273.27万元。七是人社领域基金资金互查涉及人事考试资金方面涉及6个问题，其中盟本级1个、旗县5个，问题涉及金额15.81万元，目前已全部整改。 （三）人事人才工作。一是印发《锡林郭勒盟加强高技能人才队伍建设三年（2023-2025年）计划》（锡人社发〔2023〕24号）、《关于推进全盟属地企业开展技能人才自主评价的通知》，成立3个工作组深入13个旗县市（区）企业验收评估，目前全盟备案评价机构29家（较上年新增17家，同比增长141.6%）。二是以赛促评，为全盟高技能人才搭建平台，举办2023年锡林郭勒盟“农信杯”乡村振兴职业技能大赛，为7个赛项的前3名选手授予“全盟技术能手”并直接晋升为高级工技能等级，在内蒙古第二届乡村振兴职业技能大赛中获1金牌，2铜牌，16个优胜奖并组团观摩了国家第二届职业技能大赛。三是根据我盟占优势或潜力的12个职业工种，通过申报、评估、座谈、议定等程序拟定9家盟级技能竞赛集训基地，涉及13个赛项。 （四）档案管理工作。一是现管理盟直43个单位（系统）干部人事档案5884卷。二是现管理各类流动人员人事档案5835卷，办理查（借）阅业务450次，复印材料485张，接收高校毕业生档案2733卷，窗口接待5600人次。三是盟本级于2023年4月11日正式上线“内蒙古流动人员人事档案管理系统”，依托系统办理业务，实现全区通办；随后通过举办“内蒙古流动人员人事档案管理系统”培训班，规范系统操作人员业务流程，印发《关于做好全盟流动人员人事档案管理工作的通知》（锡人社办字〔2023〕107）、《关于做好全盟流动人员人事档案管理问题整改工作的通知》（锡人社办字〔2023〕152号）等文件，成立工作组赴旗县进行现场督导，并为各旗县提供8万元系统启动资金，用于开通平台账号，全力推进上线工作。 （五）信访服务工作。截至12月底，盟本级处理劳动争议案件113件，仲裁结案率达100%；印发《锡林郭勒盟地区金牌劳动人事争议调解组织评价办法》，评选了第一批全盟金牌劳动人事争议调解组织，目前全盟共有基层调解组织81家，其中盟级金牌调解组织24家，自治区级金牌调解组织5家，国家级金牌调解组织1家；成立农民工工资争议速裁厅，办结涉及农牧民工、残疾人、就业困难群体案件168件，办结率100%；盟本级答复信访案件24件，向盟行署提交信访复核建议书7份，化解十一届第二轮自治区党委第七巡视组移交信访事项5件。 （六）支部党建工作。一是开展主题教育，深入学习贯彻习近平新时代中国特色社会主义思想，坚定拥护“两个确立”，坚决做到“两个维护”。开展学习贯彻习近平新时代中国特色社会主义思想主题教育专题学习11次，主题党日活动6次，形成研讨材料52篇。二是严格执行“三会一课”、主题党日等组织生活制度。2023年召开党员大会4次、支委会9次、支部书记讲党课1次、支部委员讲党课3次、组织主题党日活动15次；三是加强党员教育管理，坚持制度化常态化学习。制定《2023年度盟人力资源服务中心党支部学习计划》，组织党员干部集中学习27次，学习强国参学率达100%；按照《党员教育管理条例》，严格审核把关党员入党材料，提升发展党员质量，发展入党积极分子2名。 存在的问题： （一）考试资金拨付缓慢，影响考务工作进度。随着国家、自治区下放组织考试权限，考试频次增多，考生人数增加，急需资金加大，主要为命题费、劳务费、租用费、保障费等，如不及时支付影响下一步考试工作，甚至会导致带着情绪工作的情况，给考试安全埋下隐患。 （二）高技能人才成长通道不畅，待遇水平不高，领军人才少，稳才留才机制不健全，专业技术人员对技能等级认定认识不足，企业用人单位自主开展职业技能等级认定积极性不强，落实“新八级工”制度力度不够。 改进措施及下一步工作思路： （一）考试考务工作。一是按照自治区考试计划完成各项考试任务，积极与相关考试成员单位协调沟通，落实考试主体责任、优化联动协调机制、强化服务保障措施、维护考试公平正义，确保每项考试安全平稳顺利组织实施。二是通过走出去与各盟市学习交流，创新考务工作模式，依据考试性质不同，将组织考试方式进行分类实施，探索社会考试（机考）组织方式，优化考务工作质量，压缩考试成本。三是做好考务提质优化工作，合理管理考务物资申领、利用等方式，最大化提升考务物资的利用率。 （二）人事人才工作。一是积极筹备2024年技能大赛，推荐优秀选手，遴选大赛裁判，邀请盟内外专家，开展赛前集训，提高参赛选手技术含量。计划于2024年1—6月各集训基地开展线上指导训练，7—8月开展赛前现场集训。 （三）档案管理工作。一是指导督促全盟流动人员档案管理机构依托系统开展所有档案业务，录入档案信息，加强我盟流动人员档案工作“统一标准、业务协同、信息共享、安全有序”。二是计划2024年打造中心“智能档案库”，构建档案库房智能系统，升级视频监控、防盗系统、温湿度控制系统等安全措施，进一步保障档案安全性。 （四）信访服务工作。一是严格执行劳动人事争议调解仲裁各项管理和工作制度。全年劳动人事仲裁案件调解成功率达到60%，仲裁案件结案率达到90%以上，仲裁案件终结率达到70%以上。二是严格落实《进一步加强劳动人事争议协商调解工作实施细则》，强化劳动人事争议预防指导，开展和谐劳动关系宣传引导，加强劳动人事争议隐患排查化解工作。三是严格落实首接、首办责任制，做好“人社业务接待服务窗口”建设，深入推进群众合理诉求“最多访一次”，确保群众合理诉求能一次性处理到位，不断提高信访群众满意度。 （五）支部党建工作。一是做好党建基础工作及党风廉政建设工作，继续加强党员学习，落实好主题党日活动、支部书记讲党课等活动。二是做好上级机关党委安排的年度专项工作和年度重点工作，继续加强党员干部参加廉政教育、专题教育培训等。三是继续发挥好支部职能、党员先锋模范带头作用，“党员先锋岗”、“人事考试监督员”履职尽责，形成工作合力。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孟克</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13644792588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2024年03月14日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B5AB4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2024-04-10T08:44:08Z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8C6A30FB96522923D8E015663737648E</vt:lpwstr>
  </property>
</Properties>
</file>