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12152500MB1F236114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锡林郭勒盟市场监督管理局综合保障中心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锡林郭勒盟市场监督管理局综合保障中心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盟市场监督管理局提供综合保障服务。市场监管系统人员培训、专业技术人员及执业药师继续教育培训，食品生产企业及药品经营企业技术审评服务、相关领域审评专家库建设服务，后勤服务保障、固定资产管理、档案管理、统计、信息化，为监督食品、药品、化妆品、医疗器械及重要工业产品方面提供抽样服务，为行政许可、监督检查和安全风险监测提供技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锡市阿巴嘎街5号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赵绅淏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.0031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.0047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锡林郭勒盟市场监督管理局综合保障中心.公益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2023年度我单位认真执行《事业单位登记管理暂行条例》及《事业单位登记管理暂行条例实施细则》，根据有关法律、法规和政策，严格按照核准登记的宗旨和业务范围开展活动。本年度共进行法人变更登记：1 （次） 变更登记时间：2023年7月17日 变更登记原因：根据《关于赵绅淏同志聘任职的通知》（锡市场党组字〔2023〕41号）文件，申请变更。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（一）加强制度建设。完善综合保障中心考勤、请销假、采购等工作制度并具体执行，不断提升工作效能。 （二）做好食品药品安全抽样服务工作。按照盟局有关要求，制定具体抽样计划并组织实施，按时完成国家、自治区和锡盟的各类抽样任务，协助盟局有关科室做好监督性抽样检查工作。 2023年自治区涉疫药品专项抽检计划（流通环节）：任务118批次，完成112批次，剩余6批次本地市场未流通（小儿柴桂退热口服液2批次、阿司匹林泡腾片1批次、丹参片1批次、小儿复方磺胺甲噁唑片2批次）。 2023年食品抽检情况： 1、2023年内蒙古锡林郭勒盟本级“你点我检”抽检计划：任务期限2023-01-01 至2023-11-31，任务300批次，已完成。 2、2023年内蒙古锡林郭勒风险监测计划（盟本级）：任务期限2023-06-01 至2023-11-31，任务245批次，已完成。 3、2023年内蒙古锡林郭勒盟本级农产品计划：任务期限2023-06-01 至2023-11-31，任务300批次，已完成。 4、2023年盟本级传统乳制品专项抽检计划：任务期限2023-05-27 至2024-02-01，任务1100批次，已完成。 5、其他联合检查抽检任务共36批次，已完成。 （三）做好各类会务及培训保障工作。保障落实国家市场监管总局、自治区市场监管局及盟局召开的各项会议、培训；按照盟局有关科室需求，组织落实业务培训工作。2023年1月至12月，共保障各类会议、培训220余场。 （四）做好局机关后勤保障工作。定期对局机关网络进行检查，确保局机关网络安全，通过了盟公安局、盟网信办组织的多次网络安全考核。进一步树立责任意识、服务意识，做好局机关后勤保障有关工作，完成无烟单位、节能单位建设。 （五）做好公务接待、公车管理工作。严格按照有关制度实施公务接待，厉行勤俭节约，防止铺张浪费。加强公务用车管理，按照统一管理、定向保障、经济适用、节能环保的原则，有效保障公务出行活动，2023年，共派遣公务用车294次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蒙景辰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18904790035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BFBE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2024-04-10T08:41:40Z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8CD3CEB52D0EE07544E015662AB44618</vt:lpwstr>
  </property>
</Properties>
</file>