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121525000505969305</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乌拉盖管理区供销合作社联合社</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乌拉盖管理区供销合作社联合社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宣传贯彻党中央关于“三农”工作的方针政策；研究制定行业发展规划；对重要农牧业生产资料、农畜产品经营进行组织、协调和储备管理。承担管理区管委会委托的公益性服务和其他任务。参与农村牧区振兴工作；推进供销合作社法制建设；指导基层供销合作社业务活动。组织开展农畜产品展会展销。领办创办农牧民专业合作社；指导社有资产运营。履行社有资产监管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巴音胡硕镇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秦志慧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128</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乌拉盖管理区管委会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123.95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122.87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乌拉盖管理区供销合作社联合社.公益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2023年我单位认真执行《事业单位登记管理暂行条例》及《事业单位登记管理暂行条例实施细则》，根据有关法律、法规和政策，严格按照核准登记的宗旨和业务范围开展活动。本年度无变更登记。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全年以来，乌拉盖管理区供销合作社联合社围绕贯彻习近平新时代中国特色社会主义思想和党的二十大精神为指导，认真贯彻落实管理区党工委、管委会及上级主管部门的决策部署，扎实做好全年工作，较好地完成了全年各项任务。 一、主要工作开展情况 （一）强化党建引领，树牢政治根基。管理区供销社始终坚持把政治建设摆在首位，以深入贯彻落实习近平新时代中国特色社会主义思想为首要政治任务，提升理论学习制度化、规范化水平，进一步推动理论武装工作。一是加强组织建设。进一步严肃单位党的组织生活，健全组织生活制度，定期召开民主生活会和组织生活会，落实好经验性提醒和批评等制度。认真贯彻执行“三会一课”、主题党日等活动制度，认真开展党的组织生活，做好党员干部职工组织关系排查工作。认真开展党费收缴工作，使党费收缴工作制度化、规范化。二是加强作风建设。严格贯彻执行中央八项规定，深化警示教育工作，发扬“钉钉子”精神，坚决防止“四风”反弹。定期召开会议听取意识形态工作汇报，分析研判意识形态工作情况，党组成员以身作则，廉洁自律，切实增强主体责任，不断把作风建设引向深入。三是切实发挥党组的领导核心作用。供销社党组坚持贯彻执行民主集中制，严守政治纪律和政治规矩，坚决贯彻落实管理区党工委决策部署，勇于承担政治领导责任，全面履行供销社党组职责，对本单重点工作、大额资金使用、年度预算安排、决算执行情况等“三重一大”事项，全部通过党组会议研究决定。四是理顺理事会和监事会关系，按照社章赋予的职能任务履职尽责，为我社全方位开展深化改革工作发挥积极作用。 （二）提升服务能力，夯实供销基础。管理区供销社主动适应经济发展新常态和农业农村新形势，紧紧围绕服务“三农”工作大局，以密切与农民利益联结为核心，以提升为农服务能力为根本，以强化基层供销合作社和创新联合社治理机制为重点，推进“新网工程”项目建设。积极夯实和发展壮大基层供销社服务体系，截至目前，共建成基层供销社4家，专业合作社1家，社属企业3家，开放办社企业5家，其中参股企业1家，各项任务目标已全部完成。 （三）落实安全生产主体责任。切实加强安全生产和隐患排查，定期对基层社、社属企业、再生资源交易市场等重点领域进行隐患排查，坚决消除各类安全隐患。2023年，我社未发生安全生产事故。 二、亮点工作 （一）主要经济指标大幅增长 截至2023年10月，实现销售总额917.13万元，同比增长35.5%，利润总额74.99万元，同比增长72.2%，分部分看，其他消费品（盐业和农机销售）销售总额428.93万元，较去年同比增长90.4%，增长主要原因是今年5月份新加入锡林农牧业机械销售有限公司开放办社企业。再生资源交易市场销售总额146.2万元，恒泰农贸有限公司销售额250.43万元，同比增长1.3%。 （二）社会化服务业务保持良好发展态势 为农综合服务中农业生产社会化服务规模土地流转面积80000亩，开展配方施肥服务10000亩，统防统治服务190398.2亩，农机作业服务189518.2亩。 （三）农资保障工作 乌拉盖管理区供销联社扎实做好春耕种子化肥等农资调运工作。以哈拉盖图基层供销合作社农资配送中心为主，全年共为农业种植户调运化肥1970吨，累计销售1110吨，其中销售氮肥150吨、磷肥800吨、钾肥100吨、其他肥料60吨，库存860吨，基本保障了管理区农民在春耕时期对化肥等农业物资的需求。 （四）积极推进项目建设工作 一是再生资源交易市场扩建工程。该工程用地面积6664平方米，总投资416万元，草原征占用手续、建设用地手续等相关手续均已办结并完成招标工作。截至目前路面硬化、厕所改造、铁艺门等部分工程已经完工。二是乌拉盖原生态超市（生态厨房）项目。经过一年的运营，超市营运收入呈逐步增长趋势。2023年5月，超市联合管理区融媒体中心，通过“天边草原乌拉盖”和“乌拉盖原生态超市”抖音账号直播宣传当地特色农畜产品，效果良好。同时参展内蒙古第33届旅游那达慕会场，日销售额达到1万元，截至2023年10月底，超市线上线下销售额累计72.8万元。三是基层社、社属企业、开放办社企业建设方面。1月14日，乌拉盖管理区艺博商贸有限公司配送中心正式揭牌并启动运营。作为乌拉盖管理区供销社兴办的首个农副产品配送中心，其承担着管理区供销社完善县域流通网络建设的重要任务，将全力保障食品安全、不断满足广大农牧民群众食品需求，逐步做大做强管理区县域网络流通体系。4月17日，我社与乌拉盖管理区锡林农牧业机械销售有限公司签订合作协议，将其正式纳入我社开放办社企业。6月16日，我社与乌拉盖管理区五十二供销合作社有限公司签订股权转让协议，并于7月3日举行揭牌仪式，真正实现了“一镇（乡）一社”基层社全覆盖。 为群众办实事方面 一是10月9日，乌拉盖供销社与中国邮政储蓄银行东乌支行乌拉盖信贷小组签约，双方就深化供销合作社综合改革，开展生产、供销、信用“三位一体”综合合作试点，健全服务农牧民生产生活综合平台，助力乌拉盖乡村振兴等工作进行了深入的交流探讨，并在农资供应、农牧业社会化服务、冷链物流体系建设、电子商务、特色畜牧业产业等领域开展深度金融合作达成共识，联合推出“供销贷”产品，进一步增强了为农牧服务能力，切实做好供销社服务“三农三牧”工作。二是11月1日，乌拉盖供销联社与农业银行乌拉盖管理区支行完成战略合作协议签约。推出“纳税e贷”、“商户e贷”、“网捷贷”等低利率贷款产品，在解决社属企业、基层社、专业合作社、开放办社企业以及合作社社员融资难、利率高等急难愁盼问题上起到积极作用。 县域流通服务网络及冷链物流建设方面 加大与供销系统之间的业务合作。9月1日，我社与苏尼特左旗国茗供销合作社有限公司签订合作协议，就双方在县域流通服务网络建设方面进行深入探讨，我社提供冷藏车，对方负责物流运输，通过近期运营情况来看，运营顺畅状态良好。为县域流通网络体系建设的进一步深入，奠定了基础。 三、存在的困难 乌拉盖管理区供销合作社起步晚发展慢，社有资产管理、运营相对滞后，收益率低，增值能力弱；基层供销社服务项目单一，体量小，融资困难，缺少流动资金，发展后劲不足；专业合作社经营规模小、经济实力弱，缺乏懂技术、会管理、市场开拓能力强的复合型人才。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2022年度被评为全盟供销合作社系统综合业绩考核优胜单位一等奖。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布和图木勒</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15148618631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2024年01月22日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0F62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8"/>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页眉 Char"/>
    <w:basedOn w:val="13"/>
    <w:link w:val="9"/>
    <w:locked/>
    <w:uiPriority w:val="0"/>
    <w:rPr>
      <w:rFonts w:hint="default" w:ascii="Times New Roman" w:hAnsi="Times New Roman" w:eastAsia="宋体" w:cs="Times New Roman"/>
      <w:sz w:val="18"/>
      <w:szCs w:val="18"/>
    </w:rPr>
  </w:style>
  <w:style w:type="character" w:customStyle="1" w:styleId="19">
    <w:name w:val="hps"/>
    <w:basedOn w:val="13"/>
    <w:uiPriority w:val="0"/>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45392.3750000016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2024-04-10T09:00:59Z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1A9C1A32864556D3CBE41566E7677F79</vt:lpwstr>
  </property>
</Properties>
</file>