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121525004607603694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锡林郭勒盟林业工作站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锡林郭勒盟林业工作站（锡林郭勒盟林业科学研究所）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参与制定林业科研发展规划；开展林木种苗质量技术检验工作；承担封山（沙）育林、飞机播种、人工造林等林业项目的技术应用指导工作；林业实用技术开发应用推广工作；林业法律法规和政策的宣传工作；林木良种选育、新品种开发引进推广工作；国有林场建设、森林政策性保险业务指导工作；协助开展公民义务植树的宣传动员指导督促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锡林浩特市察哈尔街575号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哈斯宝力道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149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85.53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62.1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锡林郭勒盟林业工作站.公益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2023年度我站认真执行《事业单位登记管理暂行条例》和《事业单位登记管理暂行条例实施细则》，根据有关法律、法规、政策，严格按照核准登记的宗旨和业务范围开展活动。 年度内没有相关业务变更登记。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2023年，林业工作站在局党组正确领导下，围绕全盟林业生态建设中心任务，开拓创新、主动作为，圆满完成了年度各项工作任务。现将有关情况汇报如下： 按照盟局要求，我站组织专业技术人员成立普查工作组，对旗县市（区）林木种质资源普查工作进行了技术指导和督促推进工作。组织派出10余名专业技术人员分多批次深入普查一线，协助、指导正蓝旗、镶黄旗、苏尼特左旗等10个旗县的林木种质资源外业调查工作。共调查线路101条，线路总长840公里，采集到34科57属175种野生木本植物，采集花楸树、兴安杜鹃、稠李、黄花忍冬等野生木本植物标本2840余份，采集种子32种，古树名木调查38棵，拍摄照片8206张。所有采集数据均按照自治区要求上传至移动终端。 2023年度自治区下达重点区域绿化补助专项林业改革发展资金共计300万元，计划拟完成7个旗县市的30个嘎查村屯绿化，建设面积为520亩，实际完成26个苏木乡镇39个嘎查村的绿化，完成绿化面积787.6亩，完成率分别为计划任务量的130%和152%。其中：重点区域绿化完成31个嘎查村，绿化面积686.5亩；利用2022年乡村振兴推进资金80万元，对西乌旗3个苏木8个示范嘎查进行绿化，完成面积101.1亩。 2023年全盟应参加义务植树适龄公民人数48.02万人，实际参加植树人数36.01万人，义务植树尽责率75.2%；义务植树株数116.88万株，其中造林绿化39.51万株，抚育管护折合59.91万株，设施修建折合0.4万株，捐资捐物折合13.61万株，志愿服务折合0.36万株，其他折合3.09万株。全盟共新建义务植树基地3处，面积0.037万亩。 全面完成全盟2023—2024年度政策性森林保险保单续签工作，我盟涉及参保面积共计1461.73万亩，总保费金额2281.37万元。截至12月中旬，全盟2023年度报灾理赔面积共计15.48万亩，赔付资金1364.34万元。2022—2023年度理赔总金额1463.62万元，理赔率43.78%；2023年全盟灾后治理及植被恢复总面积23.9万亩，森林保险赔付资金总投资金额1374.44万元。 2023年全盟770名脱贫人口生态护林（草）员按时续签本年度管护合同，没有发生空窗期及森林草原资源无人管护现象。其中：正镶白旗525名，太仆寺旗220名，苏尼特右旗25名。截至年底，以上3个旗县的全年生态护林员劳务补助资金770万元已足额发放完毕。截至2023年底，相关旗县林草主管部门对所属辖区内生态护林员开展现地业务培训，累计培训生态护林员1662人次。 我站申报2024年度林业科技推广示范项目2项，项目资金共计230万元，其中：申请中央财政林业和草原科技推广示范项目《“蒙杏1号”等山杏良种推广示范》1项，申请项目投资200万元；申请自治区财政林业和草原科技推广示范项目《柠条锦鸡儿良种推广示范》1项，申请项目资金30万元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赵超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18747912922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2024年01月08日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FA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45392.3750000016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2024-04-10T09:00:07Z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6B73A66504B985D497E41566D1311D3F</vt:lpwstr>
  </property>
</Properties>
</file>