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121525004607607133</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锡林郭勒盟安神医院</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锡林郭勒盟安神医院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为人民身体健康提供医疗与护理保健服务.医疗与护理.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锡市南二环路以北华油奶牛村东侧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爱如恒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3172</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2872.39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2808.41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锡林郭勒盟安神医院.公益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攻坚克难求突破、砥砺奋进勇争先。2023年，医院认真学习贯彻习近平新时代中国特色社会主义思想，全面落实盟委行署和盟民政局各项决策部署，紧扣“大专科、强综合、建学科、上等级”的战略发展目标，不断推动精神卫生事业持续稳步发展，以实际行动推动医院高质量发展。 （一）医疗业务稳中有进，进入内涵发展新阶段。 1.科学合理利用资金。根据“轻、重、缓、急”的原则，科学合理筹划，强化资金保障，确保医疗活动日常正常运行。2023年全年医院收入10009.46万元，较上年同期收入7906.24万元，增长26.60%；财政拨款收入2764.14万元，事业收入7125.10万元，其中包括药品收入604.97万元，医疗收入6520.13万元；捐赠收入0.88万元，利息收入5.18万元，其他收入114.16万元。支出9396.93万元，较上年同期支出7286.29万元，增长28.97%；其中工资福利支出5529.29万元，药品耗材支出933.35万元，日常运营支出1705.79万元，折旧费用1228.5万元。医院结余612.87万元，较上年同期结余619.95万元，下降7.08万元。 2.就诊人次显著提高。全年门诊接诊62575人次，接收住院患者1886人次，出院患者1784人次，平均住院天数106.38天，门诊诊疗平均费用203.66元，较上年同期上升33.29%。门诊增加13690人次，较去年同期增长28%，住院患者增加753人次，较全年同期上升8.79%，平均住院天数较上年同期缩短-29.35%。 3.推进三级质控体系。医院实行“PDCA”质量管理，在质量管理活动中，要求把各项工作按照作出计划、计划实施、检查实施效果，然后将成功的纳入标准，不成功的留待下一循环去解决。2023年共进行院领导带队行政查房7次，帮助科室发现医疗质量隐患，共发现病历和护理文书书写、自备药品管理、院感制度落实等217项问题，并持续追踪问题整改情况，问题均已得到整改，行政查房问题整改率达到100%。考核应知应会228人次，不知晓14人次，知晓率为93.9%，对不合格人员应知应会掌握情况进行追踪，确保全员知晓。组织开展院级疑难病例讨论10次。院级三级医师查房5次。 4.落实临床路径管理。2023年全院入经率已达60%以上，2023年全院入经率已达60%以上的指标。全院符合入径人数为853人，全院已入径人数为780人，全院入径已达91%。完成2023年年底出院患者平均住院日比去年下降3%以上的指标。 5.推进医保支付改革。根据《锡盟安神医院终末指标查询（住院）》统计2022年1月1日至2022年12月31日患者住院次均费用为48598.1880元，截止到2023年12月31日患者住院次均费用35115.2617元，患者住院次均费用比上年下降27.74%。 （二）优化护理服务质量，提升患者就医感受 1.持续改进护理质量。使用质量管理工具持续改进护理质量，提升护理服务水平。组织召开护士长工作例会11次，院级理论培训9次，内容涵盖重型精神障碍患者护理、医院感染知识、急救技能与操作等方面，共计参与人员798人次，平均合格率为86.41%。 2.完善护理安全管理。加强护理安全教育，牢固培养护理人员安全风险意识，使护士对各项护理制度进行有效落实。2023年全院未发生Ⅰ级不良事件；Ⅱ级不良事件上报6起，占比8%；Ⅲ级不良事件发生55起，占比73.9%；Ⅳ级不良事件14起，占比18.66%。根据2021年-2023年不良事件进行分析，2023年年初制定院级不良事件管理目标为Ⅱ级不良事件上报小于14起，Ⅳ级隐患事件上报不低于10起，2023年不良事件管理均达到年初目标要求。 3.强化护理人员理论考核。2023年护理人员年终理论考核分为4个场次，共计170名护理人员参与，护理人员共计刷题量达到16万5千5百27道题，人均练习量达到973道题，通过率达到98.9%，优秀率达到77.05%。 （三）加强学科建设，构筑发展新高地 开设蒙医心身医学科。与纳贡毕力格博士专家团队合作签约，在院内改造建设了600多平米、可同时容纳100人的心身互动大厅，运用蒙医心身互动疗法，开设心身互动治疗室。5月份开始以视频听课治疗形式面向大众，听课学员通过基础检查后建立健康档案，21天为一个小治疗周期，35天为一大治疗周期，听课学员可根据自身情况自行选择。目前心身医学科运行245天，服务46193人次，总收入约318.6万。 （四）人才发展取得新突破，人才培养工作成效凸显 1.创建“学习型”医院。一是组织院级培训共18次，其中院外专家理论授课11次，院外专家实践操作1次，专题培训1次，线上培训5次；组织全院临床医师、医技人员讲课31人次。二是全年发表论文58篇，其中医技医辅6篇、护理人员37篇、临床医师4篇、行政人员3篇、多人撰写8篇。三是选派11名医师、医技人员外出学习，其中医师规范化培训2人、湖州三院进修2人、天津安定医院进修3人、中日友好医院进修2人、北大六院进修1人、北京城南中医院1人。四是卫生专业人员继续教育全年达标率为100%，较去年增加16.67%。 2.人才引进力度增大。根据2023年党组会议精神，医院积极开展招人引才工作，截止目前已完成公开招聘24人（包括高级职称人员4人），招聘完成率87.5%；其中编外招聘高级职称专业技术人员4人，其中正高级3人，副高级1人。2023年通过公开考试、赴院校开展人才引进等方式，招聘编内人员32人，其中引进高级职称人才4人、引进硕士研究生4人，调动1人。 （五）强化现代医院管理，推进医院高质量发展 1.夯实医疗质量管理。严格执行十八项医疗质量安全核心制度。一是严格按照《内蒙古自治区公立医院评审标准及实施细则》的相关要求，制定《锡林郭勒盟安神医院医疗核心制度检查评分标准》，每月对临床科室落实情况进行质控检查。二是完善了《医师值班与交接班制度》《锡林郭勒盟安神医院心理科、康复科早交班内容及流程》《锡林郭勒盟安神医院出院病历归档和质控管理办法》等医疗核心制度，保障医疗工作正常运行。三是会诊管理方面。邀请蒙医院专家来院会诊病例200例，院外会诊2例，有效减轻患者及家属的经济负担。四是危急值管理方面。全年危急值记录共96项，每月对发生的危急值处置、病情进展记录及诊疗措施，会诊，疗效评估，登记等情况进行检查，及时将发现的问题反馈至相应科室。五是三级医师查房方面。下发《关于落实院级三级医师查房制度通知》，组织各临床科室三级医师查房5次。六是疑难病例讨论方面。组织有关专家、主任进行疑难病例讨论10次。 （六）加强心理健康服务，提升全民心理健康 一是服务企业新突破，全年企事业单位心理健康服务覆盖3万人次。二是部队合作新阶段，与武警签订合作协议全年共派出3人前往17个武警支队，为士兵开展心理健康筛查。三是学校心理新成效，为学校开展心理讲座10场、家长课堂讲座2场，为职业学院护理专业4个班级讲授课程，受到学生的一致好评。四是科普宣传新方向，制作儿童心理科普宣传片《你不是局外人》，并印发心理科普宣传单、宣传册共计3000余册，让锡盟居民广泛获得心理健康知识。 （七）稳步推进三甲创建，提升医院品牌效应 以《内蒙古自治区医院评审标准及实施细则（2021年试行版）》为指导，根据科室岗位职责细化责任分工，对医院涉及的1582项条款内容进行分解，对存在多部门共同承担项目与第三方管理公司进行沟通明确责任科室，已将分解条款下发职能科室和业务科室，并将等级医院评审与质控考核工作相结合，促进等级医院评审工作进一步推进。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医疗机构执业许可证 有效期：2022年9月29日至2036年2月3日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郑文良</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15147967782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2024年01月29日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10609030101010101"/>
    <w:charset w:val="86"/>
    <w:family w:val="auto"/>
    <w:pitch w:val="fixed"/>
    <w:sig w:usb0="00000001" w:usb1="080E0000" w:usb2="00000000" w:usb3="00000000" w:csb0="0004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BE50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hps"/>
    <w:basedOn w:val="13"/>
    <w:uiPriority w:val="0"/>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2024-04-10T08:59:32Z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6DC89FFB56F7401274E4156671144287</vt:lpwstr>
  </property>
</Properties>
</file>