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5"/>
          <w:b/>
          <w:bCs/>
          <w:sz w:val="30"/>
          <w:szCs w:val="30"/>
          <w:lang w:val="en-US"/>
        </w:rPr>
        <w:t>121525004607615647</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5"/>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6"/>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20"/>
                <w:rFonts w:hint="eastAsia" w:ascii="楷体_GB2312" w:eastAsia="楷体_GB2312" w:cs="楷体_GB2312"/>
                <w:sz w:val="32"/>
                <w:szCs w:val="24"/>
                <w:bdr w:val="none" w:color="auto" w:sz="0" w:space="0"/>
                <w:lang w:val="en-US"/>
              </w:rPr>
              <w:t>锡林郭勒盟统计调查中心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6"/>
                <w:b/>
                <w:bCs/>
                <w:sz w:val="36"/>
                <w:szCs w:val="24"/>
                <w:bdr w:val="none" w:color="auto" w:sz="0" w:space="0"/>
              </w:rPr>
              <w:t>法</w:t>
            </w:r>
            <w:r>
              <w:rPr>
                <w:rStyle w:val="16"/>
                <w:b/>
                <w:bCs/>
                <w:spacing w:val="30"/>
                <w:sz w:val="36"/>
                <w:szCs w:val="24"/>
                <w:bdr w:val="none" w:color="auto" w:sz="0" w:space="0"/>
              </w:rPr>
              <w:t>定代表</w:t>
            </w:r>
            <w:r>
              <w:rPr>
                <w:rStyle w:val="16"/>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锡林郭勒盟统计调查中心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承担统计调查、监测分析、统计资料开发应用、统计学术研究等工作。国家、自治区在我盟进行的统计普查，国家、自治区制度内涉及经济社会各领域的调查，统计数据资料的汇总、分析，统计预警、监测及全国经济社会运行状况和发展趋势分析评述，统计数据与统计制度方法改革应用研究，统计资料的开发应用与分析研究、社情民意调查与分析研究，组织全盟统计科学研究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锡林浩特市锡林西大街行署2号楼9楼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薛清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9</w:t>
            </w:r>
            <w:r>
              <w:rPr>
                <w:rStyle w:val="17"/>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7"/>
                <w:rFonts w:hint="eastAsia" w:ascii="楷体_GB2312" w:eastAsia="楷体_GB2312" w:cs="楷体_GB2312"/>
                <w:sz w:val="28"/>
                <w:szCs w:val="28"/>
                <w:bdr w:val="none" w:color="auto" w:sz="0" w:space="0"/>
                <w:lang w:val="en-US"/>
              </w:rPr>
              <w:t>财政补助（全额拨款）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7"/>
                <w:rFonts w:hint="eastAsia" w:ascii="楷体_GB2312" w:eastAsia="楷体_GB2312" w:cs="楷体_GB2312"/>
                <w:sz w:val="28"/>
                <w:szCs w:val="28"/>
                <w:bdr w:val="none" w:color="auto" w:sz="0" w:space="0"/>
                <w:lang w:val="en-US"/>
              </w:rPr>
              <w:t>锡林郭勒盟统计局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20"/>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20"/>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20"/>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20"/>
                <w:sz w:val="32"/>
                <w:szCs w:val="24"/>
                <w:bdr w:val="none" w:color="auto" w:sz="0" w:space="0"/>
                <w:lang w:val="en-US"/>
              </w:rPr>
              <w:t>.0127</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7"/>
                <w:sz w:val="32"/>
                <w:szCs w:val="32"/>
                <w:bdr w:val="none" w:color="auto" w:sz="0" w:space="0"/>
                <w:lang w:val="en-US"/>
              </w:rPr>
              <w:t>.0139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锡林郭勒盟统计调查中心.公益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20"/>
                <w:sz w:val="32"/>
                <w:szCs w:val="24"/>
                <w:bdr w:val="none" w:color="auto" w:sz="0" w:space="0"/>
                <w:lang w:val="en-US"/>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2023年度我单位认真执行《事业单位登记管理暂行条例》及《事业单位登记管理暂行条例实施细则》，根据有关法律、法规和政策，严格按照核准登记的宗旨和业务范围开展活动。全年无变更情况。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7"/>
                <w:rFonts w:hint="eastAsia" w:ascii="楷体_GB2312" w:eastAsia="楷体_GB2312" w:cs="楷体_GB2312"/>
                <w:sz w:val="28"/>
                <w:szCs w:val="24"/>
                <w:bdr w:val="none" w:color="auto" w:sz="0" w:space="0"/>
                <w:lang w:val="en-US"/>
              </w:rPr>
              <w:t xml:space="preserve">2023年，锡盟统计调查中心坚持以习近平新时代中国特色社会主义思想为指导，深入学习贯彻落实党的二十大精神,狠抓统计调查各项业务工作，较好地完成了全年各项工作任务，现总结如下： 一、主要业务工作完成情况 （一）精心组织全盟第五次全国经济普查工作 1.加强组织领导，组建普查机构明确职责分工。为认真做好“五经普”工作，做到程序规范、推进有序，第一时间协调部门、起草文件，成立了经济普查领导小组以及办公室。并及时牵头组织召开经普办动员部署会和推进会，传达上级会议精神和工作要求，扎实推进“五经普”工作落实落细。 2.精心组织“两员”选聘和培训，打造经普生力军。各旗县市（区）经普办严格按照自治区《关于做好普查指导员和普查员选聘培训和管理工作的通知》要求，选优配强普查队伍，结合本地区经济普查任务，统筹考虑“两员”的数量、结构、来源，切实把政治觉悟高、业务能力好、工作责任心强的人员选聘进来，并且及时落实好各项保障措施，切实保证“两员”队伍的稳定性。全盟选聘“两员”1968人，及时完成普查机构人员信息及“两员”信息导入和维护。盟旗两级经普办积极创新培训方式，提高“两员”业务技能和实操水平，切实做到对“两员”培训和考核的全覆盖，确保清查工作顺利实施。 3.紧盯时点，完成普查小区划分和建筑物标记和底册整理工作。经普办组织各地积极对接乡镇苏木（街道、社区）相关人员，明确行政边界、会商争议地区，在7月26日前完成全部普查区、普查小区和建筑物标绘上报工作，全盟共划分普查区1088个，普查小区1593个，标注建筑物24129个，做到不重不漏、边界清晰、不交叉、不间断、应标尽标。全盟各级经普办收集编办、民政、住建等相关部门的行政记录，并将部门提供的资料与名录库数据进行比对，对全盟在库企业法人单位营业状态、经营地址等情况进行清查核实，夯实基本单位名录库，为清查工作提早做好前期准备。审核比对整理后最终形成全盟“五经普”单位清查底册，其中，单位44247家，个体经营户145450家。 4.压实部门责任，凝聚工作合力。按照“全盟统一领导、部门分工协作、各方共同参与”的原则，经普办发文明确了领导小组办公室成员单位职责分工和工作协调运行机制，为合力做好五经普工作奠定了良好基础。经普办充分发挥职能作用，细化领导小组办公室成员单位职责分工和工作协调运行机制，积极组织部门参与清查工作，争取市监、税务、编办和民政等部门在普查宣传、资料共享、清查摸底和查疑补漏等工作环节的支持和配合。各部门鼎力合作、明确责任、密切配合、共享信息，不折不扣贯彻落实好国家、自治区的各项决策部署和工作要求，切实形成工作合力，保障了清查阶段各项工作有力有序推进。 5.做好“地毯式”清查,确保单位清查无死角。清查工作开展后，按照自治区的统一部署进度安排和工作要求进行“地毯式”清查,确保高质量完成单位清查工作。截至11月15日，全盟清查上报单位数共34821个，上报率78.7%；个体经营户78112个，上报率53.7%，其中预计营业收入超过200万元的个体经营户837个。经过盟旗两级经普办和各专业的共同努力，截至11月15日，赋码率、强制差错修正率、单位行业确认率和个体户行业确认率均达到100%。 6.多措并举，扎实做好查疑补漏工作。为提升清查表数据质量,经普办抓紧、抓细、抓严开展查疑补漏工作。积极与税务、市监等部门进行信息比对，及时督促各旗县市（区）修改和补充清查表,核实清查单位实际经营状况，确保单位清查不重不漏。同时，利用自治区经普查下发的AI智能语音呼叫结果，做好普查对象的查疑补漏工作。 7.“经普办+各专业”模式，双向发力进行数据审核验收。各级经普办采取“经普办+各专业”模式，双向发力，严格按照清查数据审核验收方案开展数据审核验收。旗县级专业人员编好、核准行业代码；盟级各专业科室组织人员力量扎实做好审核清查表内专业性指标；名录专业认真做好其他指标和表间关联关系的规范性审核工作。两级工作人员各负其责,相互配合,及时解决跨专业审核等问题，切实落实对平台审核差错即报即审要求，加强对单位清查登记信息的审核。同时，以区局组织的集中联审为契机，加快审核验收进度,按时保质完成了全盟数据审核验收工作。 （二）高质量开展社情民意调查工作。 共开展民意调查项目16项，其中自主调查项目4项，委托调查项目12项，12项委托调查中，电话调查9项，网络调查3项，共计完成有效样本70148个，撰写调查报告5篇，其中2篇报告得到盟领导批示，《2022年度锡盟群众安全感满意度调查报告》得到盟委副书记、政法委书记王肇晟的批示。《锡林郭勒盟创建国家食品安全示范城市调查报告》得到盟委委员、副盟长吴庆华批示。按照盟委、行署印发的《锡林郭勒盟创建国家食品安全示范城市工作方案》中对创建工作知晓率及人民群众食品安全满意度进行调查；按照《锡林郭勒盟2023-2024年创建国家卫生城市工作方案》中对创城工作知晓率、卫生状况满意度进行调查；按照《锡林郭勒盟平安建设责任清单》持续对平安建设满意度进行调查。按照盟委组织部《关于制定2023年度绩效考核指标的通知》文件要求中，开展了“公众生态环境满意度”“社会基本服务公共满意度”2项调查任务。 （三）扎实做好基本单位名录库更新维护工作。 1.有序开展名录库维护更新工作。按照自治区统计局对基本单位数据审核“日清月结”的要求，按月对部门新增、变更及注销单位信息进行处理，同时修改审核差错信息。对各旗县市（区）建立了严格的基本单位名录库维护更新考核制度，将名录库维护更新工作纳入了对各旗县市（区）的综合考核目标内容。 2.名录库维护向下延伸实现全覆盖。名录维护更新与管理工作已全部推进社区（村、嘎查），推进率达100%，社区（村、嘎查）的统计人员对企业进行实地核查、采集企业信息后，将核查情况整理汇总上报到苏木乡镇（街道办事处），由苏木乡镇（街道办事处）统计人员录入更新。基本单位名录活跃度是自治区每月工作考核内容之一，按照区局要求，各地苏木乡镇（街道办事处）每月至少登陆4次维护名录库，每周至少登陆维护1次，同时每周对各苏木乡镇（街道办事处）维护情况进行核查与督导，确保全盟名录库活跃度达100%。 二、存在主要问题及下一步工作安排 一年来，在中心同志们的共同努力下，各项工作虽取得了一定的成绩，但与新形势下各级领导和社会各界对统计调查工作的期望与要求，以及统计调查工作高质量发展还有较大差距。一是统计调查服务于全盟经济社会发展和领导的决策的能力和水平亟待进一步提高。二是统计调查人员力量不足以及人员整体素质难以适应客观需要。三是统计基层基础还较为薄弱，特别是嘎查村（社区）统计人员业务能力亟待进一步提高。 针对以上问题不足，中心下一步将重点做好以下几方面工作：一是按照罗盟长“应普尽普”的工作要求，高质量开展五经普入户登记工作，确保将普查数据普全普准普实。二是以提升调查数据质量为工作抓手，强化业务考核和专项考核各项工作目标管理，不断推进调查工作规范化、制度化建设。三是加强对嘎查村（社区）统计工作人员的业务能力培训，不断提升基层统计人员的业务水平和专业能力。四是工作侧重于精细化，确保高质量完成各项统计调查任务。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20"/>
          <w:rFonts w:hint="eastAsia" w:ascii="楷体_GB2312" w:eastAsia="楷体_GB2312" w:cs="楷体_GB2312"/>
          <w:sz w:val="28"/>
          <w:szCs w:val="28"/>
          <w:lang w:val="en-US"/>
        </w:rPr>
        <w:t>陈帅</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20"/>
          <w:rFonts w:hint="eastAsia" w:ascii="楷体_GB2312" w:eastAsia="楷体_GB2312" w:cs="楷体_GB2312"/>
          <w:sz w:val="28"/>
          <w:szCs w:val="28"/>
          <w:lang w:val="en-US"/>
        </w:rPr>
        <w:t xml:space="preserve">15148671039  </w:t>
      </w:r>
      <w:r>
        <w:rPr>
          <w:rFonts w:hint="eastAsia" w:ascii="楷体_GB2312" w:eastAsia="楷体_GB2312" w:cs="楷体_GB2312"/>
          <w:b/>
          <w:bCs/>
          <w:sz w:val="28"/>
          <w:szCs w:val="28"/>
          <w:lang w:eastAsia="zh-CN"/>
        </w:rPr>
        <w:t>报送日期：</w:t>
      </w:r>
      <w:r>
        <w:rPr>
          <w:rStyle w:val="20"/>
          <w:rFonts w:hint="eastAsia" w:ascii="楷体_GB2312" w:eastAsia="楷体_GB2312" w:cs="楷体_GB2312"/>
          <w:b/>
          <w:bCs/>
          <w:sz w:val="28"/>
          <w:szCs w:val="28"/>
          <w:lang w:val="en-US"/>
        </w:rPr>
        <w:t>2024年01月29日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DFAFDE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9"/>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4"/>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页眉 Char"/>
    <w:basedOn w:val="13"/>
    <w:link w:val="9"/>
    <w:locked/>
    <w:uiPriority w:val="0"/>
    <w:rPr>
      <w:rFonts w:hint="default" w:ascii="Times New Roman" w:hAnsi="Times New Roman" w:eastAsia="宋体" w:cs="Times New Roman"/>
      <w:sz w:val="18"/>
      <w:szCs w:val="18"/>
    </w:rPr>
  </w:style>
  <w:style w:type="character" w:customStyle="1" w:styleId="15">
    <w:name w:val="font21"/>
    <w:basedOn w:val="13"/>
    <w:uiPriority w:val="0"/>
    <w:rPr>
      <w:rFonts w:hint="default" w:ascii="Times New Roman" w:hAnsi="Times New Roman" w:eastAsia="楷体_GB2312" w:cs="Times New Roman"/>
      <w:sz w:val="30"/>
      <w:szCs w:val="24"/>
    </w:rPr>
  </w:style>
  <w:style w:type="character" w:customStyle="1" w:styleId="16">
    <w:name w:val="font51"/>
    <w:basedOn w:val="13"/>
    <w:uiPriority w:val="0"/>
    <w:rPr>
      <w:rFonts w:hint="eastAsia" w:ascii="黑体" w:hAnsi="宋体" w:eastAsia="黑体" w:cs="黑体"/>
      <w:sz w:val="36"/>
      <w:szCs w:val="24"/>
    </w:rPr>
  </w:style>
  <w:style w:type="character" w:customStyle="1" w:styleId="17">
    <w:name w:val="font71"/>
    <w:basedOn w:val="13"/>
    <w:uiPriority w:val="0"/>
    <w:rPr>
      <w:rFonts w:hint="default" w:ascii="Times New Roman" w:hAnsi="Times New Roman" w:eastAsia="楷体_GB2312" w:cs="Times New Roman"/>
      <w:sz w:val="28"/>
      <w:szCs w:val="24"/>
    </w:rPr>
  </w:style>
  <w:style w:type="character" w:customStyle="1" w:styleId="18">
    <w:name w:val="hps"/>
    <w:basedOn w:val="13"/>
    <w:uiPriority w:val="0"/>
  </w:style>
  <w:style w:type="character" w:customStyle="1" w:styleId="19">
    <w:name w:val="页脚 Char"/>
    <w:basedOn w:val="13"/>
    <w:link w:val="8"/>
    <w:locked/>
    <w:uiPriority w:val="0"/>
    <w:rPr>
      <w:rFonts w:hint="default" w:ascii="Times New Roman" w:hAnsi="Times New Roman" w:eastAsia="宋体" w:cs="Times New Roman"/>
      <w:sz w:val="18"/>
      <w:szCs w:val="18"/>
    </w:rPr>
  </w:style>
  <w:style w:type="character" w:customStyle="1" w:styleId="20">
    <w:name w:val="font61"/>
    <w:basedOn w:val="13"/>
    <w:uiPriority w:val="0"/>
    <w:rPr>
      <w:rFonts w:hint="default" w:ascii="Times New Roman" w:hAnsi="Times New Roman" w:eastAsia="楷体_GB2312" w:cs="Times New Roman"/>
      <w:sz w:val="32"/>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45392.3437500016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2024-04-10T08:59:05Z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0EDA910EB36DE54C59E4156692373EEF</vt:lpwstr>
  </property>
</Properties>
</file>