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121525004607727302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锡林郭勒盟合作交流中心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锡林郭勒盟合作交流中心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　　 认真贯彻党中央关于公务接待和合作交流工作的方针政策.承担国家、自治区、巡视组、督查组、督导组、检查组等重要团组到我盟公务活动的联络协调和服务保障工作；承担国外访问团组来我盟开展外事活动的联络协调和服务保障工作；负责我盟区内外大型企业、金融机构重大活动的接待服务保障工作:指导全盟党政机关公务接待和合作交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锡盟上都苑后院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张钦涛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152</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105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锡林郭勒盟合作交流中心.公益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2023年，我办遵守国家有关法律法规和《事业单位登记管理暂行条例》及其实施细则的规定，按照宗旨和业务范围开展相活动。没有涉及办理变更登记的事项，没有违法违规等情况。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2023年度，我单位在盟委、行署的领导下，认真贯彻《事业单位登记管理暂行条例》和相关法律、法规、政策，按照核准登记的业务范围开展活动，主要做了以下几个方面的工作： 一是圆满完成各项公务接待任务。2023年共接待来宾499批次4627人次，同比上涨113%，其中国家级领导同志2批2人次，省部级领导40批71人次，报送要客信息318期。重点完成了十四届全国人大常委会副委员长，九三学社中央主席武维华，中共中央军事委员会原副主席范长龙，全国人大常委会委员、环资委主任委员鹿心社，主题教育中央第一巡回指导组组长车俊，中央统战部副部长、全国工商联党组书记徐乐江，民盟中央副主席、全国政协副秘书长，中国美术馆馆长吴为山以及自治区党委、政府主要领导赴我盟调研的服务保障任务。同时，充分发挥盟级单位的业务指导职能，在重要公务接待任务期间均派出经验丰富的接待干部、服务员和厨师组成接待团队赴旗县市（区）指导工作，全年共派员赴旗县市（区）12次，确保了全盟公务接待各项任务圆满完成。紧紧围绕盟委、行署“招商引资年”工作需要，将招商引资接待作为全年公务接待的重点任务，共完成招商引资相关接待142批次，1193人次，较去年同比上涨190%。接待过程中，通过提供锡盟优质原材料制作的菜品和在房间摆放特色奶制品、牛肉干、文创产品等，在接待细节中融入能够体现我盟地方特色、产业优势和发展潜力的元素，全方位展示锡盟、推介锡盟。 二是深入学习宣传党的二十大精神。中心坚持以习近平新时代中国特色社会主义思想为指导，深入学习宣传贯彻党的二十大精神和习近平总书记关于内蒙古工作的重要讲话重要指示批示精神，全面贯彻落实中央八项规定及其实施细则精神和自治区党委、盟委有关配套规定精神，聚焦“发展”和“创新”，不断提升服务水平和质量，推动中心各项工作迈出新步伐、取得新成效。 三是党风廉政建设持之以恒。严格落实党风廉政建设责任制，认真落实全面从严治党战略部署。坚决守住中央八项规定精神铁规矩、硬杠杠，认真贯彻落实习近平总书记关于厉行节约、反对餐饮浪费的重要指示精神，贯彻落实公务接待管理规定和制度要求，进一步规范了公务接待行为。加强新时代廉洁文化建设,开展党规党纪学习宣传和违法违规违纪案例通报，组织全体干部职工观看警示教育片《永远吹冲锋号》，以案示警、以案明纪。深化实化岗位权力廉洁风险防控工作，根据人员变动、职务调整和任务分工，修订完善了岗位权力廉洁风险防控台账，切实织密廉洁风险防控网。 四是主题教育工作成效明显。中心紧紧围绕学思想、强党性、重实践、建新功的总要求，始终高站位谋划、高标准推进、严要求落实。按照主题教育规定的学习书目和内容，制定了详细的学习安排，举办读书班4期，中心组学习16次，党支部集体学习20次，专题研讨13次，专题党课4次，聚焦“五个紧盯”，从开展主题教育、推动落实总书记交给内蒙古“五大任务”、推动全方位建设“模范自治区”、服务和保障民生、全面从严治党等5个方面查摆具体问题6个。班子成员聚焦办好“两件大事”、推动公务接待高质量发展目标任务，立足职能职责和工作分工，确定调研课题2项，先后深入各接待基地、各旗县市区接待部门把脉问诊，在全面服务、主动服务、规范服务、创新服务、温暖服务上出实招、下功夫。认真做好调研成果转化，制定《盟合作交流中心指导旗县市（区）开展重大公务接待服务保障任务流程》，完善《接待干部应知应会手册》，将主题教育与日常工作相结合，把主题教育成果转化为谋划工作的思路、落实工作的举措、改进工作的动能。坚持走好群众落线，依托“双报到双服务”工作，组织全体党员干部加入包联社区暖心服务小分队，开展暖心驿站值守、清冰铲雪、送学上门等志愿服务活动。始终心系群众急难愁盼，为包联嘎查66户110名群众投保防返贫保险，让“脱贫不返贫”的长效保障惠及更多农牧民群众。积极协调水利部门为嘎查用水困难群众打井，解决了附近二十多户牧民的吃水难题。党员干部在为群众办实事、解难题中进一步强化了宗旨意识和责任担当。 下年度，将坚持以习近平新时代中国特色社会主义思想为指导，聚焦铸牢中华民族共同体意识主线，持续推动公务接待工作规范化建设，选优配强干部队伍，全力做好接待基地监管工作，不断探索新形势下公务接待工作的新举措、新方法，为我盟完成好习近平总书记交给内蒙古的“五大任务”和全方位建设模范自治区两件大事贡献力量。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曹立峰</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18647911999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3FEE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2024-04-10T08:57:12Z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092788D3288F0137E8E31566F3C4B4CE</vt:lpwstr>
  </property>
</Properties>
</file>