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121525004607849933</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乌拉盖管理区疾病预防控制中心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乌拉盖管理区疾病预防控制中心（乌拉盖管理区鼠疫防控中心）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　　为人民身体健康提供防疫保障及疾病预防与控制；卫生监督与监测。突发卫生事件处理；卫生宣传与健康教育，卫生防疫培训与技术指导。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乌拉盖管理区北海大街北小工业园区东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关玉靖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45</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乌拉盖管理区卫生健康委员会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440.64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357.08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乌拉盖管理区疾病预防控制中心（乌拉盖管理区鼠疫防控中心）.公益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一、严格执行章程&amp;nbsp; 2023年，乌拉盖管理区疾病预防控制中心在管理区党工委、管委会，管理区卫健委的领导和上级业务部门的指导下，贯彻落实管理区的决策部署。疾控中心全体成员学习热情饱满，工作作风能力扎实，队伍整体素质得到提升。 二、按照登记的宗旨和业务范围开展了以下具体的业务活动 （1）结核病工作 2023年疾控中心为4所中小学校全体师生开展结核病PPD筛查工作，共计筛查1000余人。“3.24世界防治结核病日”开展了健康科普宣传活动，到第二中学举办校园结核病防治知识讲座，共覆盖师生85余人次。 （2）鼠防工作 乌拉盖疾控中心鼠防实验室自2021年投入使用，乌拉盖管理区2022年纳入自治区鼠疫监测项目旗县。现鼠防工作为全年开展。共开展了鼠疫防控培训及演练8次，共设置了13个模拟场景，进行了全流程演练，采取现场问答方式，以达到演练目的。5月苏尼特左旗疾控中心到我中心开展鼠疫防控业务工作交流；8月疾控中心参加了第七届锡承张旗县级鼠疫联防联控工作会议；10月疾控中心第二次参加第三届三盟市五旗县市区鼠疫联防联控会议。 （3）慢性病、地方病工作 乌拉盖管理区疾控中心两次邀请锡盟安神医院来我地开展康复及筛查工作。3月份，锡盟安神医院康复师在查干胡硕社区康复站为严重精神障碍患者进行了康复指导，医师团队在社区卫生服务中心开展了疑似精神障碍患者筛查工作，共筛查11人。10月30日,锡盟安神医院康复师在巴音胡硕镇社区卫生服务中心为严重精神障碍患者进行了康复指导，医师团队开展了疑似精神障碍患者筛查工作，共筛查20人。 开展了肿瘤日、世界高血压日、世界无烟日、全民健身宣传月、全国高血压日、世界精神卫生日、世界糖尿病日等宣传活动。10月19日乌拉盖疾控中心慢病工作人员为各医疗机构做了死因监测和肿瘤登记相关培训。11月14日在巴彦胡硕社区为居民开展高血压、糖尿病健康巡讲。11月28日在努仁化社区为居民开展肿瘤的防治健康巡讲。 碘缺乏病工作监测了第二小学、第二中学共200余名学生的盐样和尿样本，检测了100余名孕妇的盐和尿样本。根据国家碘缺乏病消除评价标准，2023年乌拉盖管理区保持碘缺乏病持续消除状态。 （4）艾滋病、丙肝防治工作 艾滋病自愿咨询检测100余例，开展医疗机构艾滋病、性病、丙肝培训1次。 （5）检验工作 包虫病犬粪检测200份、结果阴性，对2例包虫病患者进行了随访；鼠疫核酸检测55份；鼠肺、肝脾肾共14份。 2023年为人民医院、贺场卫生院排除了鼠疫、出血热、炭疽三例传染性疾病。 2023年4月进行了盐碘，尿碘、水碘盲样质控考核工作。完成了内蒙古自治区综合疾病预防控制中心下发的梅毒盲样考核。参加了全区结核病实验室抗酸染色涂片镜检室间质评。 （6）传染病防治工作 制定并完善各项传染病制度共12份。每季度针对6所学校开展传染病督导。 开展了新冠培训1次、传染病网报系统培训3次、布病防控培训2次、不明原因肺炎监测培训1次、手足口病培训2次、传染病防控培训1次。 （7）免疫规划工作 2023年开展了预防接种资质培训、脊髓灰质炎灭活疫苗和麻腮风疫苗补充免疫培训、免疫规划法律法规和免疫规划系统使用培训等。发现了一般预防接种异常反应1例并及时处置，未发生严重疑似预防接种异常反应病例。 （8）学生常见病监测工作 学生常见病监测项目为管理区6所学校的学生开展了监测筛查，同时开展了学生健康影响因素问卷调查和学生心理健康问卷调查，为6所学校35个班级开展了学生常见病环境监测。 三、取得的主要社会效益和经济效益 2023年疾控中心副主任李有军荣获“内蒙古自治区五一劳动奖章”、副主任张玲玲荣获自治区“内蒙古好医生好护士”荣誉称号，副主任张玲玲与锡林郭勒盟疾病预防控制中心的两名同仁代表锡林郭勒盟参加自治区流行病学技能竞赛，并获得“个人优秀奖”。疾控中心的三名同事代表乌拉盖管理区参加了锡林郭勒盟现场流行病学调查职业技能大赛并荣获团体二等奖，其中张玲玲荣获个人二等奖、袁晶晶荣获个人三等奖、陈玉萍荣获个人优秀奖等。赵颖获得了自治区综合疾控中心紧缺人才培养项目二级实验室骨干人员认证；疾控主任关玉靖为内蒙古自治区医学会鉴定专家库成员、锡盟精神卫生工作宣讲骨干、锡盟知联会执行理事、乌拉盖管理区纪检委特约监察员。 2023年疾控中心完成了水质实验室改扩建，自治区水质检验资质评审组开展了实验室水质检验资质认定现场评审工作。生活饮用水43项指标CMA认证成功，达到旗县级要求检测能力，在全盟为较早且全部通过的旗县。 2022年全区鼠防工作中，乌拉盖疾控中心鼠防工作两项指标均位居全区第三名。2023年全区鼠防工作中，有一项指标位列全区前十名。7月自治区鼠疫风险评估会议上，乌拉盖疾控中心主任关玉靖在全区鼠防工作会上进行了交流发言，8月在全盟精神卫生业务培训班上关玉靖主任进行了严重精神障碍管理治疗工作经验分享。 2023年布样方数132个，捕鼠数239只，鼠密度1.81只/公顷，监测踏查面积3329平方公里，剖验宿主动物361只，鼠体蚤259组520匹，其中旱獭101只，旱獭获蚤45组75匹，血清学检测283份，自毙动物10只。 严重精神障碍在册患者报告患病率4.37‰，管理率99.02%，规范管理率为98.04%，面访率为99.02%，体检率为67.65%，服药率99.02%。 布病病原学监测16人，主动调查监测2482人；门诊被动监测514人，网络报告27例，现已规范治疗26例，已治愈24例，治愈率92.31%。 接种一类疫苗3761针次，接种率为97.92%；接种二类疫苗1802针次，接种新冠疫苗130剂次。 四、存在的问题及改进措施和下一步工作思路 疾控中心将继续加强疾病预防控制体系建设，以传染病防控为重点，深入推进公共卫生服务工作，构建防护屏障，阻断传播，为促进管理区社会稳定经济发展，促进居民健康，扎实努力工作。继续加强鼠防监测工作，加大宣传和培训力度，筑牢群防群控防线，提高应急处置能力，做好联防联控，加强督导检查。加强培训学习，不断提高检验人员的业务水平和工作能力。继续完善实验室建设，提高检测能力。进一步加大工作力度，与各部门配合，在管理区、卫健委的领导下，上级部门的支持下，坚持预防为主、防治结合的方针，采取有力措施，为广大群众的健康和乌拉盖管理区的社会经济发展做出新贡献。 疾控中心现有在岗人员25人，其中高级职称3人，中级职称4人，初级职称10人，现有专业技术人员比例为72%，不符合上级专业技术人员比例≥85%的要求。在现有人员中，从事疾病预防控制工作经验满五年的仅有3人，人员不稳定且断档严重，医学专业人员成长周期慢，不符合疾病预防控制工作应急要求，极大制约了疾病预防控制工作及应急处置工作的开展。截止2022年底，新冠疫情期间在疾控中心工作的各种用工形式的人员中，今年已经被调派到其它部门去的有8人，考录到其它单位的有2人。目前疾控中心还紧缺卫生专业技术人员9名，由于实验室的扩充和检验人员需求增加，缺少检验技术人员4名，由于鼠防工作任务量增加，缺少鼠防外勤人员3名，缺少公共卫生1名，缺少职业卫生1名。 五、其他需要报告的情况&amp;nbsp;无。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李岩</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13947903690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3DB04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hps"/>
    <w:basedOn w:val="13"/>
    <w:uiPriority w:val="0"/>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2024-04-10T08:56:47Z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37B5599A027534CCCFE31566C47AF56C</vt:lpwstr>
  </property>
</Properties>
</file>