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121525005788533178</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乌拉盖管理区财政国库收付中心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乌拉盖管理区财政国库收付中心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承担管理区财政国库集中收付制度改革辅助性工作；承担管理区财政资金集中支付等方面的经办工作；协助确定管理区国库集中支付代理银行，承担代理业务结算事务性工作，并进行日常监测；协助开展管理区预算执行动态监测和财政性资金业务数据对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乌拉盖管理区巴音胡硕镇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孙海龙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2.4</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乌拉盖管理区财政局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7.8</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乌拉盖管理区财政国库收付中心.公益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 xml:space="preserve">2023国库收付中心严格按照管理区财政局统一部署和工作要求，认真抓好工作落实，加强系统学习，强化效能建设，严格执行局内各项管理制度，扎实认真的做好各项工作。现将2023年度 工作汇报如下： 一、集中支付完成情况 国库收付中心2023年度共计完成集中支付资金174206.26万元。 二、直达资金下达、支付情况 2023年度乌拉盖管理区共收到直达资金指标8285.25万元（中央7402.16万元；自治区级400.22万元；盟市级482.87万元），支出8157.25万元（中央7319.8万元；自治区级356.81万元；盟市级480.63万元），支付率98.5%（中央98.9%；自治区级89.2%；盟市级99.5%），位列全盟第一。分配进度100%。 三、完善一体化系统 一是汇总预算执行一体化系统问题7条，并提交给金财公司，目前已解决一条执行综合查询模块查询支出金额和国库股有差异问题。 二是与金财公司协调在一体化系统中增加预算单位支出附件预览模块，提高了收付中心支付审核效率。 四、加强财政资金管理，保障资金运行安全 一是对集中支付资金实时监控，对大额资金、专项资金存在的疑点信息，采取查看资料附件、电话询问等方式进行核实、纠偏。财政资金在用款单位支付手续完备的情况下，收付中心实行即到即付的办法，真正的做到简单快捷、切实提高工作效率。协调督促预算单位工作人员其按相关规定支付财政资金、积极参加财政组织开展的业务学习，并要求人人都熟练掌握业务操作。 二是强化服务意识，规范操作程序依法依规使用财政资金是中心工作的出发点和落脚点。我们始终坚持加强业务沟通，规范操作程序，提供优质服务的工作方针，努力打造财政服务的文明高效形象，提供文明服务、严格执行操作规则、高效服务，受理快速准确，及时办结支付业务，并做到急事急办，促进工作不断完善。 五、强化业务素质，提高队伍形象 一是深入学习习近平新时代中国特色社会主义思想，努力为新时代新征程推动党和国家事业发展、实现第二个百年奋斗目标作出贡献。 二是提高从业水平，通过抓工作作风建设，切实落实中心管理制度，提高服务效率，提升干部职工业务技能、综合素质和服务水平，确保财政资金安全、高效使用。 六、下一步重点工作任务安排部署 一是持续做好财政资金支付环节的审核工作，对不符合国库集中支付要求和条件的支付业务不予办理，确保财政资金安全使用。 二是继续加强中心干部职工业务政策学习，不断提升业务能力，提高工作效率。 三是持续优化预算执行一体化系统，联系金财公司工程师逐项解决系统运行中出现问题。 四是依托直达资金监控平台，确保监控系统数据的真实性、准确性。进一步加强跟踪督导，加强对直达资金的管理和规范使用，确保直达资金尽快支付到位，真正做到惠企利民。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张立斌</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15164990003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2024年01月22日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黑体">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6713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2024-04-10T08:55:50Z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2D9EB3E81D85652D96E315665A317E76</vt:lpwstr>
  </property>
</Properties>
</file>