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121525006928762488</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乌拉盖管理区生态环境综合行政执法大队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乌拉盖管理区生态环境综合行政执法大队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依法以锡林郭勒盟生态环境局乌拉盖管理区分局名义开展行政执法工作。生态环境保护方面法律、法规、规章的落实，污染防治、生态保护、核与辐射安全等方面的行政执法以及相关行政执法职能的行使，生态环境综合行政执法体系建设、综合行政执法科技和信息化建设、生态环境方面违法案件的投诉和举报的受理、执法队伍建设、执法人员教育培训、相关法律规范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巴音胡硕镇东风大街南侧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王宇祥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59</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锡林郭勒盟生态环境局乌拉盖管理区分局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59</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2023年度，我大队认真贯彻《事业单位登记管理暂行条例》和《事业单位登记管理暂行条例实施细则》及有关法律、法规、政策，按照核准登记的范围开展活动，按期完成了事业单位法人证书延续。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2023年度，我单位在锡林郭勒盟生态环境局的领导下，认真贯彻《事业单位登记管理暂行条例》和有关法律、法规、政策，按照核准登记的业务范围开展活动，主要做了以下几个方面工作：一是开展环保专项行动。今年以来我大队按照上级部门要求组织开展了 “四大专项行动”以及环境保护大检查、环境风险隐患排查、环境执法大练兵等各类专项行动，组织开展了双随机执法抽查、重点污染源检查和环境风险隐患排查等各种检查，共出动执法人员150余人次，出动执法车辆120余台次，检查企业40余家，查处环境违法行为2起。对检查中发现的环境隐患提出了明确整改要求。通过行动，强力推进污染排查与整治、环境空气质量保障、饮用水源安全保障、环境安全隐患排查与整治、建设项目环境执法监管等重点工作，进一步规范了企业环境行为，维护了群众环境利益。二是高度重视环境信访工作。建立健全信访制度，畅通信访渠道,及时受理、查处环境违法行为，切实保障群众环境权益，以解决群众反映较多的噪声污染、油烟污染等热点难点问题为重点，加大执法检查力度，改善区域环境质量，促进企业发展与群众环境诉求的和谐。2023度截至目前接到群众信访12345转办件1起,已全部办结群众满意率100%。三是不断提升执法人员综合素质。同时积极参加上级部门组织的各项业务培训15人次，通过培训执法人员水平有所提升。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白云鹏</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15247913045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2024年03月19日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DD89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hps"/>
    <w:basedOn w:val="13"/>
    <w:uiPriority w:val="0"/>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2024-04-10T08:54:01Z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D5AD0DF8F7FF437229E315665349C41D</vt:lpwstr>
  </property>
</Properties>
</file>