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20"/>
          <w:b/>
          <w:bCs/>
          <w:sz w:val="30"/>
          <w:szCs w:val="30"/>
          <w:lang w:val="en-US"/>
        </w:rPr>
        <w:t>121525006959439879</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20"/>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5"/>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4"/>
                <w:rFonts w:hint="eastAsia" w:ascii="楷体_GB2312" w:eastAsia="楷体_GB2312" w:cs="楷体_GB2312"/>
                <w:sz w:val="32"/>
                <w:szCs w:val="24"/>
                <w:bdr w:val="none" w:color="auto" w:sz="0" w:space="0"/>
                <w:lang w:val="en-US"/>
              </w:rPr>
              <w:t>锡林郭勒盟农牧业综合行政执法支队</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5"/>
                <w:b/>
                <w:bCs/>
                <w:sz w:val="36"/>
                <w:szCs w:val="24"/>
                <w:bdr w:val="none" w:color="auto" w:sz="0" w:space="0"/>
              </w:rPr>
              <w:t>法</w:t>
            </w:r>
            <w:r>
              <w:rPr>
                <w:rStyle w:val="15"/>
                <w:b/>
                <w:bCs/>
                <w:spacing w:val="30"/>
                <w:sz w:val="36"/>
                <w:szCs w:val="24"/>
                <w:bdr w:val="none" w:color="auto" w:sz="0" w:space="0"/>
              </w:rPr>
              <w:t>定代表</w:t>
            </w:r>
            <w:r>
              <w:rPr>
                <w:rStyle w:val="15"/>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锡林郭勒盟农牧业综合行政执法支队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依法以盟农牧局名义开展行政执法工作，落实有关农牧业方面的法律、法规、规章，依法统一行使农牧业方面的行政处罚以及与行政处罚相关的行政检查、行政强制措施、行政强制执行等执法职能；承担法律法规直接赋予本级的执法职责，组织查处辖区内跨区域和具有重大影响的复杂案件；承担全盟农牧业综合行政执法队伍业务指导、组织协调和监督考核等工作；依法落实综合行政执法与主管部门、刑事司法衔接机制，促进部门联动和协调配合；依法受理农牧业违法案件的投诉、举报；加强综合行政执法科技和信息化建设；加强执法队伍建设，开展相关法律法规的宣传，强化执法人员的培训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锡林浩特市锡林大街150号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秦晓玲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44</w:t>
            </w:r>
            <w:r>
              <w:rPr>
                <w:rStyle w:val="19"/>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9"/>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9"/>
                <w:rFonts w:hint="eastAsia" w:ascii="楷体_GB2312" w:eastAsia="楷体_GB2312" w:cs="楷体_GB2312"/>
                <w:sz w:val="28"/>
                <w:szCs w:val="28"/>
                <w:bdr w:val="none" w:color="auto" w:sz="0" w:space="0"/>
                <w:lang w:val="en-US"/>
              </w:rPr>
              <w:t>锡林郭勒盟农牧局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4"/>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4"/>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4"/>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4"/>
                <w:sz w:val="32"/>
                <w:szCs w:val="24"/>
                <w:bdr w:val="none" w:color="auto" w:sz="0" w:space="0"/>
                <w:lang w:val="en-US"/>
              </w:rPr>
              <w:t>41.96</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9"/>
                <w:sz w:val="32"/>
                <w:szCs w:val="32"/>
                <w:bdr w:val="none" w:color="auto" w:sz="0" w:space="0"/>
                <w:lang w:val="en-US"/>
              </w:rPr>
              <w:t>53.45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内蒙古自治区锡林郭勒盟农牧业综合行政执法支队.公益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4"/>
                <w:sz w:val="32"/>
                <w:szCs w:val="24"/>
                <w:bdr w:val="none" w:color="auto" w:sz="0" w:space="0"/>
                <w:lang w:val="en-US"/>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2023年度我单位认真执行《事业单位登记管理暂行条例》及《事业单位登记管理暂行条例实施细则》，根据有关法律、法规和政策，严格按照核准登记的宗旨和业务范围开展活动，2023年全年没有进行变更。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9"/>
                <w:rFonts w:hint="eastAsia" w:ascii="楷体_GB2312" w:eastAsia="楷体_GB2312" w:cs="楷体_GB2312"/>
                <w:sz w:val="28"/>
                <w:szCs w:val="24"/>
                <w:bdr w:val="none" w:color="auto" w:sz="0" w:space="0"/>
                <w:lang w:val="en-US"/>
              </w:rPr>
              <w:t xml:space="preserve">（一）大力开展普法宣传工作。为普及各项农牧业法律知识及基本常识，进一步促进源头防范，营造全民懂法、全民守法的社会氛围，我单位本年度共开展了两次普法宣传活动。活动发放《民法典》、《农资打假实用手册》、《中华人民共和国农产品质量安全法详解》、《中华人民共和国种子法》、《农用薄膜管理办法》等宣传材料，同时结合现场讲解的方式，向群众解读部分法律内容及农资打假识假辩假知识，宣传活动公布了农牧业领域违法违规行为投诉举报电话，进一步畅通了投诉举报渠道。 全盟各级执法队伍除专项普法宣传活动外，还将此项工作贯穿到日常执法检查过程当中，做到送法下乡、送法入户，提高普法的宽度与广度。2023年，全盟共发放各项宣传材料6000余份。 （二）全面进行执法检查工作。一是农资打假专项执法工作。 以推动农牧业高质量发展为目标，扎实开展农资打假专项治理行动。深入各农资经销处及生产企业，依法严厉打击农资生产、销售、使用环节违法违规行为，着力保障农资质量安全，切实维护消费者的利益。 2023年，支队多次深入旗县开展农资打假执法检查工作，对种子生产经营企业证照情况、品种情况、种子备案、品种权属和亲本来源；农药经营门店台账记录、产品质量、产品追溯、登记事项、禁限用药、实名购买；肥料产品是否登记，产品有效成分及含量；兽药经营门店经营范围、厂家资质，兽用处方药与非处方药分区域分柜摆放；饲料标签，厂家质检报告、是否销售过期饲料等情况进行检查。专项行动共检查各类经营门店及企业171家/次，查询兽药二维码追溯信息600余份，抽检复合肥产品6个，有机肥产品2个，抽检农药样品15个。 二是稳粮保供专项执法工作。为深入贯彻落实农业农村部“稳粮保供”专项行动工作要求，我支队积极动员，围绕粮食和重要农畜产品生产关键环节，加大执法力度，保障农牧业生产安全。 在废旧农膜清理方面，抓住关键时节，深入旗县大力开展农膜回收清理督导专项行动，及时处理投诉举报，严肃查处违法违规行为。动员督促种植户进行废旧地膜集中清理，通过采取“机械作业+人工捡拾”同步开展的方式，使地膜残留状况有明显改观。在农畜产品质量安全方面，针对重点生产主体和重点品种，全面排查风险隐患，检查农产品产地环境、生产经营记录制度、投入品使用制度、承诺达标合格证制度等。同时重点检查蔬菜、禽蛋、牛羊猪肉禁限用农兽药使用、常规农兽药使用及承诺达标合格证开具情况、养殖企业的动物防情况、屠宰企业动物产品检疫情况等，督促生产经营者落实主体责任。专项行动共检查种养殖企业及屠宰加工企业37家/次。 三是安全生产执法工作。在饲料及农机方面，组织执法人员形成检查组，深入全盟各旗县市区开展安全生产检查工作。主要对饲料企业安全生产责任制落实情况，生产设备的使用、检修，实验室安全使用，消防设施等进行检查；在农机方面强化农机驾驶人员安全意识；同时对农业机械维修者的从业资格、维修人员资格、维修质量、农业机械安全及相关制度落实情况进行了检查。共检查饲料企业4家，农机销售及维修企业15家。 在渔业方面，深入锡林浩特水库、阿巴嘎旗查干淖尔渔场、苏尼特左旗恩格尔河水库、多伦县西山湾水库和大河口水库、正蓝旗上都湖景区、乌拉盖水库、西乌珠穆沁旗高力罕水库，围绕渔船、渔港安全情况、三无船舶、渔船标识、消防救生设施、职务船员持证情况、禁渔期捕鱼、毒鱼电鱼炸鱼等情况进行检查，要求渔场工作人员必须做好防范工作，杜绝安全隐患存在，并在码头、桥头等醒目处，张贴安全警示标语及条幅，齐抓共营，形成安全生产环境。 （三）扎实推进业务能力提升工作按照我盟农牧业执法内强素质外塑形象的目标，2023年我单位制定了本年度培训计划及行政执法培训三年规划（2023年-2025年），继续做好对下级执法部门的业务培训指导工作。 一是举办专题培训。本年度，举办了全盟兽药市场监管暨兽用抗菌药使用减量化行动专项培训班、渔业安全生产执法培训班各1次。邀请自治区专家对兽药使用有关要求、兽用抗菌药的主要监管措施、水产养殖新趋势和增效新技术、越冬技术要点等内容进行线下授课。培训全盟执法人员及相关企业业务人员共120余人次。 二是开展实地督查。下发《关于开展全盟农牧业综合行政执法专项督查检查的通知》，形成两个检查组前往镶黄旗、正镶白旗、太仆寺旗、多伦县、正蓝旗、阿巴嘎旗、苏尼特左旗、东乌珠穆沁旗、西乌珠穆沁旗、乌拉盖管理区，对各地行政执法工作开展情况、案卷质量、责任落实等情况开展实地督查，以进一步加强农牧业综合执法体系建设，扎实推进依法行政、规范执法。 三是进行案卷评查。组织全盟13个旗县（市、区）农牧业综合行政执法大队业务骨干共58人参加了2023年度案卷评查工作。在参评的18卷案卷中择优评选出了3卷全盟优秀案卷。评查结束后，组织各大队进行交流讨论，针对案卷评查中存在的共性问题及目前执法过程中存在的显著问题进行沟通。四是参加全区执法比武大练兵活动。 在全盟范围内选派4名精干力量组成代表队前往自治区参赛，经过理论考试、案例纠错、模拟执法和执法能力建设展示四个环节，我盟在全区12个参赛队伍，48名在编在岗的农牧业综合行政执法人员中获得团体三等奖的成绩。（四）严肃查处违法违规案件 2023年，我支队共办理农牧业违法违规案件2起，结案2起，罚没0.3万余元。全盟各级农牧业综合行政执法机构共检查农资经营门店、生产企业4031家（次），出动执法人员5423人次，共查处农牧业违法案件82起，罚款金额34万余元。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4"/>
          <w:rFonts w:hint="eastAsia" w:ascii="楷体_GB2312" w:eastAsia="楷体_GB2312" w:cs="楷体_GB2312"/>
          <w:sz w:val="28"/>
          <w:szCs w:val="28"/>
          <w:lang w:val="en-US"/>
        </w:rPr>
        <w:t>李紫静</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4"/>
          <w:rFonts w:hint="eastAsia" w:ascii="楷体_GB2312" w:eastAsia="楷体_GB2312" w:cs="楷体_GB2312"/>
          <w:sz w:val="28"/>
          <w:szCs w:val="28"/>
          <w:lang w:val="en-US"/>
        </w:rPr>
        <w:t xml:space="preserve">18604797044  </w:t>
      </w:r>
      <w:r>
        <w:rPr>
          <w:rFonts w:hint="eastAsia" w:ascii="楷体_GB2312" w:eastAsia="楷体_GB2312" w:cs="楷体_GB2312"/>
          <w:b/>
          <w:bCs/>
          <w:sz w:val="28"/>
          <w:szCs w:val="28"/>
          <w:lang w:eastAsia="zh-CN"/>
        </w:rPr>
        <w:t>报送日期：</w:t>
      </w:r>
      <w:r>
        <w:rPr>
          <w:rStyle w:val="14"/>
          <w:rFonts w:hint="eastAsia" w:ascii="楷体_GB2312" w:eastAsia="楷体_GB2312" w:cs="楷体_GB2312"/>
          <w:b/>
          <w:bCs/>
          <w:sz w:val="28"/>
          <w:szCs w:val="28"/>
          <w:lang w:val="en-US"/>
        </w:rPr>
        <w:t>2024年03月04日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 w:name="@黑体">
    <w:panose1 w:val="020B0500000000000000"/>
    <w:charset w:val="86"/>
    <w:family w:val="auto"/>
    <w:pitch w:val="fixed"/>
    <w:sig w:usb0="30000083" w:usb1="2BDF3C10" w:usb2="00000016" w:usb3="00000000" w:csb0="602E01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F12E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7"/>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6"/>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61"/>
    <w:basedOn w:val="13"/>
    <w:uiPriority w:val="0"/>
    <w:rPr>
      <w:rFonts w:hint="default" w:ascii="Times New Roman" w:hAnsi="Times New Roman" w:eastAsia="楷体_GB2312" w:cs="Times New Roman"/>
      <w:sz w:val="32"/>
      <w:szCs w:val="24"/>
    </w:rPr>
  </w:style>
  <w:style w:type="character" w:customStyle="1" w:styleId="15">
    <w:name w:val="font51"/>
    <w:basedOn w:val="13"/>
    <w:uiPriority w:val="0"/>
    <w:rPr>
      <w:rFonts w:hint="eastAsia" w:ascii="黑体" w:hAnsi="宋体" w:eastAsia="黑体" w:cs="黑体"/>
      <w:sz w:val="36"/>
      <w:szCs w:val="24"/>
    </w:rPr>
  </w:style>
  <w:style w:type="character" w:customStyle="1" w:styleId="16">
    <w:name w:val="页眉 Char"/>
    <w:basedOn w:val="13"/>
    <w:link w:val="9"/>
    <w:locked/>
    <w:uiPriority w:val="0"/>
    <w:rPr>
      <w:rFonts w:hint="default" w:ascii="Times New Roman" w:hAnsi="Times New Roman" w:eastAsia="宋体" w:cs="Times New Roman"/>
      <w:sz w:val="18"/>
      <w:szCs w:val="18"/>
    </w:rPr>
  </w:style>
  <w:style w:type="character" w:customStyle="1" w:styleId="17">
    <w:name w:val="页脚 Char"/>
    <w:basedOn w:val="13"/>
    <w:link w:val="8"/>
    <w:locked/>
    <w:uiPriority w:val="0"/>
    <w:rPr>
      <w:rFonts w:hint="default" w:ascii="Times New Roman" w:hAnsi="Times New Roman" w:eastAsia="宋体" w:cs="Times New Roman"/>
      <w:sz w:val="18"/>
      <w:szCs w:val="18"/>
    </w:rPr>
  </w:style>
  <w:style w:type="character" w:customStyle="1" w:styleId="18">
    <w:name w:val="hps"/>
    <w:basedOn w:val="13"/>
    <w:uiPriority w:val="0"/>
  </w:style>
  <w:style w:type="character" w:customStyle="1" w:styleId="19">
    <w:name w:val="font71"/>
    <w:basedOn w:val="13"/>
    <w:uiPriority w:val="0"/>
    <w:rPr>
      <w:rFonts w:hint="default" w:ascii="Times New Roman" w:hAnsi="Times New Roman" w:eastAsia="楷体_GB2312" w:cs="Times New Roman"/>
      <w:sz w:val="28"/>
      <w:szCs w:val="24"/>
    </w:rPr>
  </w:style>
  <w:style w:type="character" w:customStyle="1" w:styleId="20">
    <w:name w:val="font21"/>
    <w:basedOn w:val="13"/>
    <w:uiPriority w:val="0"/>
    <w:rPr>
      <w:rFonts w:hint="default" w:ascii="Times New Roman" w:hAnsi="Times New Roman" w:eastAsia="楷体_GB2312" w:cs="Times New Roman"/>
      <w:sz w:val="3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45392.3437500016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2024-04-10T08:53:51Z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8D236AB9304892B21FE31566EE869E4E</vt:lpwstr>
  </property>
</Properties>
</file>