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7"/>
          <w:b/>
          <w:bCs/>
          <w:sz w:val="30"/>
          <w:szCs w:val="30"/>
          <w:lang w:val="en-US"/>
        </w:rPr>
        <w:t>121525007610874707</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7"/>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8"/>
                <w:rFonts w:hint="eastAsia" w:ascii="楷体_GB2312" w:eastAsia="楷体_GB2312" w:cs="楷体_GB2312"/>
                <w:sz w:val="32"/>
                <w:szCs w:val="24"/>
                <w:bdr w:val="none" w:color="auto" w:sz="0" w:space="0"/>
                <w:lang w:val="en-US"/>
              </w:rPr>
              <w:t>锡林郭勒盟政务服务中心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锡林郭勒盟政务服务中心（锡林郭勒盟党群服务中心）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承担政务服务和党群服务工作。为盟直和锡林浩特市集中审批驻厅单位提供“一站式”服务；承担全盟电子政务、驻厅单位并联审批、联审联验、联合竣工验收、联合踏勘、多图联审工作；政务服务中心窗口工作人员的管理与业务培训、实绩考核；协调驻厅单位落实政务公开；负责盟党群服务中心建设运转、日常管理和服务保障，指导旗县市（区）、苏木乡镇（街道）开展党群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锡林浩特市北京路19号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王志刚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8849</w:t>
            </w:r>
            <w:r>
              <w:rPr>
                <w:rStyle w:val="14"/>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4"/>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4"/>
                <w:rFonts w:hint="eastAsia" w:ascii="楷体_GB2312" w:eastAsia="楷体_GB2312" w:cs="楷体_GB2312"/>
                <w:sz w:val="28"/>
                <w:szCs w:val="28"/>
                <w:bdr w:val="none" w:color="auto" w:sz="0" w:space="0"/>
                <w:lang w:val="en-US"/>
              </w:rPr>
              <w:t>锡林郭勒盟政务服务局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sz w:val="32"/>
                <w:szCs w:val="24"/>
                <w:bdr w:val="none" w:color="auto" w:sz="0" w:space="0"/>
                <w:lang w:val="en-US"/>
              </w:rPr>
              <w:t>11565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4"/>
                <w:sz w:val="32"/>
                <w:szCs w:val="32"/>
                <w:bdr w:val="none" w:color="auto" w:sz="0" w:space="0"/>
                <w:lang w:val="en-US"/>
              </w:rPr>
              <w:t>11955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锡林郭勒盟政务服务中.公益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8"/>
                <w:sz w:val="32"/>
                <w:szCs w:val="24"/>
                <w:bdr w:val="none" w:color="auto" w:sz="0" w:space="0"/>
                <w:lang w:val="en-US"/>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本年度共进行变更登记：1次 变更登记的时间：2023年9月28日 变更登记的原因：原法定代表人李海涛（去世）变更为王志刚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4"/>
                <w:rFonts w:hint="eastAsia" w:ascii="楷体_GB2312" w:eastAsia="楷体_GB2312" w:cs="楷体_GB2312"/>
                <w:sz w:val="28"/>
                <w:szCs w:val="24"/>
                <w:bdr w:val="none" w:color="auto" w:sz="0" w:space="0"/>
                <w:lang w:val="en-US"/>
              </w:rPr>
              <w:t>一、严格执行本单位章程 盟政务服务中心（党群服务中心）坚持以人民为中心的发展思想，深入贯彻落实盟委、行署决策部署，按照局党组工作要求，不断强化自身建设，着力在进驻部门窗口的组织协调、监督管理和指导服务等方面下功夫。中心全体干部职工以大局为重，克服困难，主动履职，严格执行各项规章制度和内控管理制度，包括《组织领导制度》《会议制度》《财务管理制度》《固定资产管理制度》《物业服务管理办法》《突发公事事件应急预案》《政务服务大厅管理办法》《窗口工作人员考核制度》等制度，并不断完善制度机制，优化标准流程，大力推进标准化、规范化、便利化建设，较好的完成了为办事群众和企业提供线上线下服务、办公楼安全管理运行、党群服务中心管理运行等工作。 二、按照核定的宗旨和业务范围，围绕年初制定的总目标，开展了以下业务活动 （一）加强办公楼安全管理运行。高度重视安全稳定工作，加强对物业公司和消防、电梯、空调维保企业的监督，强化对空调、电梯、消防、和水电暖等设施设备的日常检查，并建立完善巡查记录。重点做好门卫值班值守工作，认真盘查重点环节、重点区域可能存在的安全隐患，工作日内对进入楼内的办事群众特别是一些老年人乘座滚梯可能出现意外的情况，做好引领服务，确保提供安全稳定的办事环境。同时，做好春节、国庆节等假期安全稳定工作。及时完成盟派驻纪检组、机关事务中心、消防检查提出的整改要求。对楼道消防指示灯进行了安装，对5楼消防通道进行了整改。 （二）加强后勤保障和服务工作。针对办公楼体量大、进驻单位多、工作人员多、设施设备多和档案室紧张等实际，我们合理摆布，强化协调，推动中心规范运行。一是保障所有驻楼单位会议室使用，及时维修维护更换设施设备，对局部办公室进行调整改造。去年完成了顶楼防水项目，更换了1002会议室部分办公桌椅，更换了办公楼周边指示灯箱。二是去年承办全区政务服务工作现场会期间，牵头负责接待、餐饮、住宿、点位建设、路线安排、解说等工作，完成了宣传片制作，起草了会议筹备方案、行程方案、接待方案等材料，初审7个参观点位相关材料、部分典型经验材料、解说词等材料。办公室协助改造组完成了大厅改造和调整，购置了地毯、垃圾桶、花卉等物质，完成了后勤保障和服务工作。 （三）认真做好全国民族团结进步示范盟点位建设工作。2024年我盟要争创全国民族团结进步示范盟，我中心是盟直17个单位的点位之一，盟创建办要求点位建设工作要在3月上旬基本完成，迎接自治区评估组检查，7—8月份迎接国家评估组检查。此项工作专门成立了工作专班，专项推进点位建设工作。2月7日，盟创建办领导到我中心进行指导，确定了参观路线。截至目前，各项工作进展顺利，一是讲解词已报盟创建办审定，中心已经确定3名解说员，正在熟悉讲解内容和路线；二是宣传片正在制作中，计划3月12日完成制作，上报盟创建办审定；三是在政务大厅1、2、3层局部区域，以铸牢中华民族共同体意识为主线布置了一些展陈内容；四是档案建设同步推进。 （四）认真做好信息网络工作。一是对机关所有办公计算机和公用计算机操作系统及应用软件进行了摸底统计和正版化升级，建立健全《正版化软件采购管理制度》《软件资产管理制度》等规章制度和《软件使用台账》，并及时进行整理汇总、归档。二是对机房及大厅电子设备、各进厅部门接入专线、大厅窗口显示屏、安防监控系统等及时进行维修维护，有效保障了网络畅通、电子设备正常运行。三是全面排查网络安全工作，并进行自查自纠、排除隐患，制定《中心网络安全管理办法》《中心机房安全应急预案》等制度，常态化做好网络安全管理和技术防护排查工作。 （五）加强政务服务大厅管理，着力提升服务能力和水平 充分利用政务服务大厅直面群众、人流量大的优势，将民族团结进步创建融入政务服务日常工作，实施“综合一窗受理”，组建帮办代办团队，设置汉蒙双语叫号播报，使汉蒙双语服务窗口工作人员达80%以上，着力打造民族团结示范窗口、红旗窗口；建立“问需于民”机制，采取“好差评”服务评价、“办不成事反应窗口”，定期收集、分析办事群众的意见建议，不断满足各族群众的关切。畅通服务渠道，以“企业之家”、24小时自助服务、预约服务、延时服务、帮办代办服务等模式，不断增强服务功能，提升服务能力。 聚焦“四办”，依托“蒙速办”APP和政务服务网上平台，通过“一厅办”“一网办”“掌上办”“一次办”“帮您办”“免证办”“就近办”等，积极推进政务服务多样化，积极推进政务服务“线上线下”集成化，形成“线上线下”功能互补、相辅相成的政务服务新模式，不仅提升了服务效能，也提高了企业和办事群众的满意度。 三、取得主要社会效益和经济效益 作为全盟最大的窗口单位，锡盟政务服务中心积极发挥社会作用，在精神文明建设、民族团结、铸牢中华民族共同体意识、文明卫生城市创建、开展党建活动、提升党员教育基地等方面，发挥了积极的作用。努力把政务服务中心打造成党和政府与百姓联结的桥梁，把党群服务中心展厅打造成民族团结的特色品牌，使其成为全盟党员教育培训基地、党性锤炼基地、党群服务实践基地和民族团结进步教育基地，自2021年7月运行以来，已累计接待全盟各级党组织和团队150多个，参观党员干部群众达1.5万余人次，发挥了一个窗口单位的社会效益。同时，开展了一系主题实践活动，牵头组织开展了“凝心铸魂聚合力 互学互鉴共提升 笃行不怠建新功”大型主题党日活动，来自全区各盟市15个基层党组织、200余名党员干部参加，取得了良好的效果。同时与盟委组织部、盟直机关工委、盟公共资源交易中心、盟蒙古族中学、锡林浩特市向荣社区、锡林浩特市政务服务中心、盟电业局等相关部门和单位联合开展了一系列主题党日实践活动，在宣传铸牢中华民族共同体意识、社会主义核心价值观、倡导文明、绿色、健康生活方面发挥了重要的宣传引领作用。经常深入包联社区开展“双进双服务”活动，累计投入6000余元资金，完成认领清单任务，开展慰问困难户和党员、联合党日等活动。2次深入包联嘎查苏尼特右旗阿其图乌拉苏木乌日根高勒嘎查对接工作，争取项目，进行慰问。另外，中心还承担了全盟优化营商环境、开展“两优”专项行动等工作，打造“企业之家”，提供绿色通道服务，为各类企业提供帮办代办、帖心式保姆服务，助力企业高质量发展。 积小事而凝聚团结之力。锡林郭勒盟政务服务中心先后获得全国文明单位、全国巾帼文明岗、全区民族团结进步示范单位、全区先进基层党组织、全盟“最强党支部”等荣誉，印证着民族团结一家亲的生动体现。 四、存在的问题及改进措施和下一步工作思路 由于多次机构改革、领导和工作人员变动频繁等因素，中心的管理运行也存在一些不科学、不规范、不合理的现象，迫切需要解决；推动开展的各项工作仍有差距和不足，需要下力气、下功夫创新开展、有力推动。 （一）人员缺乏问题。由于没有及时安排空编进人计划，没有及时补录聘用工作人员，导致机关严重缺乏后备力量，无法形成“传帮带”机制，未形成干部成长梯次结构，导致机关工作人员、综窗工作人员、大厅服务人员短缺，开展日常工作捉襟见肘。建议机构改革后，尽快安排空编进人计划，补录聘用工作人员，解决人员不足、人才断档的问题。 （二）机构运行不合理的问题。由于近两年中心的信息网络科、业务科没有独立运行，中心的大部分干部同时承揽全局性工作，有些干部职能交叉，同时承担局里和中心的工作，导致有些科室和工作人员职责不清、界限不明、工作效率低下，一些干部情绪受到影响，积极性不高。建议：以这次机构改革为契机，进一步明确并优化中心科室职能职责，平衡人力资源，合理配置岗位，调动工作人员积极性，推动各科室正常运行，同时注重有效发挥班子成员作用，充分调动每名干部的主观能动性，凝心聚力开展工作。 （三）机关办公区布局不合理的问题。5层机关办公区不能满足基本办公条件，一些辅助用房都作办公室使用，缺少功能性办公用房。特别是锡市政务服务中心、公共资源交易中心一些办公室严重短缺，长时间没有解决，且各驻楼单位办公室不集中，来机关办公的群众不好找。这次机构改革之后，主管局增加了领导、科室和工作人员，没有多余的办公室。建议尽快对4楼局部区域进行改造，改善机关办公条件。 （四）党群服务中心功能作用发挥不充分的问题。目前，党群服务中心的利用率比较高，向全盟各级基层党组织提供了活动场所，发挥了学习宣传的阵地作用。但是在指导旗县市区、苏木乡镇党群服务中心开展工作，宣传全盟党建成果方面、解读党的政策方面未得以充分发挥。建议加强与盟委组织部沟通联系，拓展党群服务中心功能，加强对基层党群服务中心的指导，促动提升全盟党建服务水平。 （五）激励机关干部成长机制不畅通的问题。近年来，中心的干部几乎没有到省外、盟外进行过考察学习，除业务干部外几乎没到旗县进行过调研，更没有参加过异地培训。干部的思路、思想、视野有待开拓，中心的工作需要借鉴先进地区的经验做法推动、创新。建议今后多组织一些“走出去”考察学习，同时结合“请进来”培训的方式，强化提升干部能力，拓展干部争先创优的空间，激发调动干部的积极性。 五、其他需要报告的情况 我们将在完成好政务服务日常工作的基础上，着重做好以下几项重点工作。 （一）优化中心内设机构和职能。按照这次机构改革要求，比照主管局工作职能，中心起草了新的优化内设机构和职能的方案，完成机构改革任务。 （二）创新开展党群服务中心工作。创新思路，充分发挥党群服务中心和主题展厅的政治功能和组织功能作用，让全盟各级基层党组织在党群展厅看得见党的元素，听得见党的声音，感受到党的温暖，不断提升党建服务水平。 （三）做好全国文明单位复检工作。全国文明单位今年要进行复检，需要高度重视做好迎检工作，建立完善档案，创新、务实开展一些精神文明创建活动，确保顺利通过复检。 （四）做好全国民族团结进步示范盟点位建设迎检工作。积极与盟创建办沟通联络，扎实做好点位建设各项工作，准</w:t>
            </w:r>
            <w:r>
              <w:rPr>
                <w:rStyle w:val="14"/>
                <w:rFonts w:hint="eastAsia" w:ascii="楷体_GB2312" w:eastAsia="楷体_GB2312" w:cs="楷体_GB2312"/>
                <w:sz w:val="28"/>
                <w:szCs w:val="24"/>
                <w:bdr w:val="none" w:color="auto" w:sz="0" w:space="0"/>
                <w:lang w:val="en-US"/>
              </w:rPr>
              <w:t xml:space="preserve">备好迎接国家和自治区检查评估，确保不拖全盟的后腿。 （五）做好办公楼管理运行工作。持续加强对辅助中心管理运行的4家外包服务企业监督管理，重点关注消防、电梯安全，提高服务保障水平，确保办公楼安全稳定运行。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8"/>
          <w:rFonts w:hint="eastAsia" w:ascii="楷体_GB2312" w:eastAsia="楷体_GB2312" w:cs="楷体_GB2312"/>
          <w:sz w:val="28"/>
          <w:szCs w:val="28"/>
          <w:lang w:val="en-US"/>
        </w:rPr>
        <w:t>李修芳</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8"/>
          <w:rFonts w:hint="eastAsia" w:ascii="楷体_GB2312" w:eastAsia="楷体_GB2312" w:cs="楷体_GB2312"/>
          <w:sz w:val="28"/>
          <w:szCs w:val="28"/>
          <w:lang w:val="en-US"/>
        </w:rPr>
        <w:t xml:space="preserve">13947395859  </w:t>
      </w:r>
      <w:r>
        <w:rPr>
          <w:rFonts w:hint="eastAsia" w:ascii="楷体_GB2312" w:eastAsia="楷体_GB2312" w:cs="楷体_GB2312"/>
          <w:b/>
          <w:bCs/>
          <w:sz w:val="28"/>
          <w:szCs w:val="28"/>
          <w:lang w:eastAsia="zh-CN"/>
        </w:rPr>
        <w:t>报送日期：</w:t>
      </w:r>
      <w:r>
        <w:rPr>
          <w:rStyle w:val="18"/>
          <w:rFonts w:hint="eastAsia" w:ascii="楷体_GB2312" w:eastAsia="楷体_GB2312" w:cs="楷体_GB2312"/>
          <w:b/>
          <w:bCs/>
          <w:sz w:val="28"/>
          <w:szCs w:val="28"/>
          <w:lang w:val="en-US"/>
        </w:rPr>
        <w:t>2024年03月18日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D57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71"/>
    <w:basedOn w:val="13"/>
    <w:uiPriority w:val="0"/>
    <w:rPr>
      <w:rFonts w:hint="default" w:ascii="Times New Roman" w:hAnsi="Times New Roman" w:eastAsia="楷体_GB2312" w:cs="Times New Roman"/>
      <w:sz w:val="28"/>
      <w:szCs w:val="24"/>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21"/>
    <w:basedOn w:val="13"/>
    <w:uiPriority w:val="0"/>
    <w:rPr>
      <w:rFonts w:hint="default" w:ascii="Times New Roman" w:hAnsi="Times New Roman" w:eastAsia="楷体_GB2312" w:cs="Times New Roman"/>
      <w:sz w:val="30"/>
      <w:szCs w:val="24"/>
    </w:rPr>
  </w:style>
  <w:style w:type="character" w:customStyle="1" w:styleId="18">
    <w:name w:val="font61"/>
    <w:basedOn w:val="13"/>
    <w:uiPriority w:val="0"/>
    <w:rPr>
      <w:rFonts w:hint="default" w:ascii="Times New Roman" w:hAnsi="Times New Roman" w:eastAsia="楷体_GB2312" w:cs="Times New Roman"/>
      <w:sz w:val="32"/>
      <w:szCs w:val="24"/>
    </w:rPr>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2024-04-10T08:53:06Z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A49046395DE4E668F2E215666A43CD8B</vt:lpwstr>
  </property>
</Properties>
</file>