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12152500460772837D</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5"/>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锡林郭勒盟中小企业公共服务中心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5"/>
                <w:b/>
                <w:bCs/>
                <w:sz w:val="36"/>
                <w:szCs w:val="24"/>
                <w:bdr w:val="none" w:color="auto" w:sz="0" w:space="0"/>
              </w:rPr>
              <w:t>法</w:t>
            </w:r>
            <w:r>
              <w:rPr>
                <w:rStyle w:val="15"/>
                <w:b/>
                <w:bCs/>
                <w:spacing w:val="30"/>
                <w:sz w:val="36"/>
                <w:szCs w:val="24"/>
                <w:bdr w:val="none" w:color="auto" w:sz="0" w:space="0"/>
              </w:rPr>
              <w:t>定代表</w:t>
            </w:r>
            <w:r>
              <w:rPr>
                <w:rStyle w:val="15"/>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2"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锡林郭勒盟中小企业公共服务中心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为锡林郭勒盟中小企业发展提供公共服务。中小企业服务体系建设、发展环境评估、投诉举报受理、生产经营运行监测平台和信用担保业务信息系统数据报送，协助开展中小企业示范平台和小微企业创业创新示范基地相关工作，协助组织全盟中小企业对外交流与合作及产品展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锡林浩特市锡林大街西段锡盟行署2号楼8楼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熙英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216</w:t>
            </w:r>
            <w:r>
              <w:rPr>
                <w:rStyle w:val="14"/>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4"/>
                <w:rFonts w:hint="eastAsia" w:ascii="楷体_GB2312" w:eastAsia="楷体_GB2312" w:cs="楷体_GB2312"/>
                <w:sz w:val="28"/>
                <w:szCs w:val="28"/>
                <w:bdr w:val="none" w:color="auto" w:sz="0" w:space="0"/>
                <w:lang w:val="en-US"/>
              </w:rPr>
              <w:t>锡林郭勒盟工业和信息化局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sz w:val="32"/>
                <w:szCs w:val="24"/>
                <w:bdr w:val="none" w:color="auto" w:sz="0" w:space="0"/>
                <w:lang w:val="en-US"/>
              </w:rPr>
              <w:t>.0065</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4"/>
                <w:sz w:val="32"/>
                <w:szCs w:val="32"/>
                <w:bdr w:val="none" w:color="auto" w:sz="0" w:space="0"/>
                <w:lang w:val="en-US"/>
              </w:rPr>
              <w:t>.0317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锡盟中小企业公共服务中心.公益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2023年度，我单位认真贯彻执行《事业单位登记管理条例》及其实施细则、《事业单位登记管理服务标准化规范（试行）》有关规定，按相关要求及时对单位名称、宗旨和业务范围、法定代表人进行年度登记，并按照登记的业务范围开展工作。2023年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一、完成了2023年度中小企业生产经营运行监测平台和信用担保业务信息系统数据的报送。我盟持续开展全国中小企业生产经营运行监测平台数据报送工作，2023年我盟月均报送户数73户，完成了自治区要求上报任务的112.6%。 二、构建中小企业服务体系。落实《内蒙古自治区促进中小企业发展三年行动方案（2023-2025）》，积极培育小型微型企业创业创新示范基地和中小企业公共服务示范平台，开展中小企业特色产业集群培育工作，推进数字化转型城市试点申报工作，为企业提高更优服务，推进中小微企业创业创新、集聚集约发展。 三、2023推进了与各银行助保贷业务，与中国银行锡盟分行、工商银行锡盟分行 、邮储银行锡盟分行、锡林农合行营业部合作为企业发放助保贷4600万元。 四、协助开展中小企业示范平台相关工作。 五、为中小企业发展提供了相关的服务。 六、推进盟工信局涉及两处资产的整改。 七、组织全小企业企业参加了中国国际中小企业博览会。 八、按时完成了每年的事业单位法人年度检审工作，并顺利通过了编制部门年度的审验和考核。 九、协助中小科完成临时性工作 。 十、完成领导交办的其他任务 。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20"/>
          <w:rFonts w:hint="eastAsia" w:ascii="楷体_GB2312" w:eastAsia="楷体_GB2312" w:cs="楷体_GB2312"/>
          <w:sz w:val="28"/>
          <w:szCs w:val="28"/>
          <w:lang w:val="en-US"/>
        </w:rPr>
        <w:t>熙英</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20"/>
          <w:rFonts w:hint="eastAsia" w:ascii="楷体_GB2312" w:eastAsia="楷体_GB2312" w:cs="楷体_GB2312"/>
          <w:sz w:val="28"/>
          <w:szCs w:val="28"/>
          <w:lang w:val="en-US"/>
        </w:rPr>
        <w:t xml:space="preserve">13947970409  </w:t>
      </w:r>
      <w:r>
        <w:rPr>
          <w:rFonts w:hint="eastAsia" w:ascii="楷体_GB2312" w:eastAsia="楷体_GB2312" w:cs="楷体_GB2312"/>
          <w:b/>
          <w:bCs/>
          <w:sz w:val="28"/>
          <w:szCs w:val="28"/>
          <w:lang w:eastAsia="zh-CN"/>
        </w:rPr>
        <w:t>报送日期：</w:t>
      </w:r>
      <w:r>
        <w:rPr>
          <w:rStyle w:val="20"/>
          <w:rFonts w:hint="eastAsia" w:ascii="楷体_GB2312" w:eastAsia="楷体_GB2312" w:cs="楷体_GB2312"/>
          <w:b/>
          <w:bCs/>
          <w:sz w:val="28"/>
          <w:szCs w:val="28"/>
          <w:lang w:val="en-US"/>
        </w:rPr>
        <w:t>2024年02月29日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黑体">
    <w:panose1 w:val="020B0500000000000000"/>
    <w:charset w:val="86"/>
    <w:family w:val="auto"/>
    <w:pitch w:val="fixed"/>
    <w:sig w:usb0="30000083" w:usb1="2BDF3C10" w:usb2="00000016" w:usb3="00000000" w:csb0="602E0107" w:csb1="00000000"/>
  </w:font>
  <w:font w:name="@宋体">
    <w:panose1 w:val="020B0500000000000000"/>
    <w:charset w:val="86"/>
    <w:family w:val="auto"/>
    <w:pitch w:val="variable"/>
    <w:sig w:usb0="30000083" w:usb1="2BDF3C10" w:usb2="00000016" w:usb3="00000000" w:csb0="602E0107" w:csb1="00000000"/>
  </w:font>
  <w:font w:name="@楷体_GB2312">
    <w:panose1 w:val="020B0500000000000000"/>
    <w:charset w:val="86"/>
    <w:family w:val="auto"/>
    <w:pitch w:val="fixed"/>
    <w:sig w:usb0="30000083" w:usb1="2BDF3C10" w:usb2="00000016" w:usb3="00000000" w:csb0="602E0107" w:csb1="00000000"/>
  </w:font>
  <w:font w:name="楷体_GB2312">
    <w:panose1 w:val="02010609030101010101"/>
    <w:charset w:val="86"/>
    <w:family w:val="auto"/>
    <w:pitch w:val="fixed"/>
    <w:sig w:usb0="00000001" w:usb1="080E0000" w:usb2="00000000" w:usb3="00000000" w:csb0="00040000" w:csb1="00000000"/>
  </w:font>
  <w:font w:name="Cambria Math">
    <w:altName w:val="DejaVu Math TeX Gyre"/>
    <w:panose1 w:val="02040503050406030204"/>
    <w:charset w:val="01"/>
    <w:family w:val="auto"/>
    <w:pitch w:val="variable"/>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7E1C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9"/>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font51"/>
    <w:basedOn w:val="13"/>
    <w:uiPriority w:val="0"/>
    <w:rPr>
      <w:rFonts w:hint="eastAsia" w:ascii="黑体" w:hAnsi="宋体" w:eastAsia="黑体" w:cs="黑体"/>
      <w:sz w:val="36"/>
      <w:szCs w:val="24"/>
    </w:rPr>
  </w:style>
  <w:style w:type="character" w:customStyle="1" w:styleId="16">
    <w:name w:val="hps"/>
    <w:basedOn w:val="13"/>
    <w:uiPriority w:val="0"/>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页眉 Char"/>
    <w:basedOn w:val="13"/>
    <w:link w:val="9"/>
    <w:locked/>
    <w:uiPriority w:val="0"/>
    <w:rPr>
      <w:rFonts w:hint="default" w:ascii="Times New Roman" w:hAnsi="Times New Roman" w:eastAsia="宋体" w:cs="Times New Roman"/>
      <w:sz w:val="18"/>
      <w:szCs w:val="18"/>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Pages>
  <Words>98</Words>
  <Characters>561</Characters>
  <Lines>4</Lines>
  <Paragraphs>1</Paragraphs>
  <TotalTime>45392.4375000016</TotalTime>
  <ScaleCrop>false</ScaleCrop>
  <LinksUpToDate>false</LinksUpToDate>
  <CharactersWithSpaces>658</CharactersWithSpaces>
  <Application>WPS Office_11.8.2.11653_F1E327BC-269C-435d-A152-05C5408002CA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雨林木风</dc:creator>
  <cp:lastModifiedBy>inspur</cp:lastModifiedBy>
  <dcterms:modified xsi:type="dcterms:W3CDTF">2024-04-10T10:36:19Z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85A574B8901973A823FB156620C3D08B</vt:lpwstr>
  </property>
</Properties>
</file>