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12152500460784977D</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乌拉盖管理区融媒体中心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2"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8"/>
                <w:bdr w:val="none" w:color="auto" w:sz="0" w:space="0"/>
                <w:lang w:val="en-US"/>
              </w:rPr>
              <w:t>乌拉盖管理区融媒体中心（乌拉盖管理区广播电视台）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8"/>
                <w:bdr w:val="none" w:color="auto" w:sz="0" w:space="0"/>
                <w:lang w:val="en-US"/>
              </w:rPr>
              <w:t>促进广播电视事业发展，提升运营能力和水平。广播新闻和播映电视节目；宣传党的理论和路线方针政策；组织广播电视和网络视听节目创作生产并播出；推动全媒体新业态发展构建新型视听传媒产业。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8"/>
                <w:rFonts w:hint="eastAsia" w:ascii="楷体_GB2312" w:eastAsia="楷体_GB2312" w:cs="楷体_GB2312"/>
                <w:sz w:val="28"/>
                <w:szCs w:val="28"/>
                <w:bdr w:val="none" w:color="auto" w:sz="0" w:space="0"/>
                <w:lang w:val="en-US"/>
              </w:rPr>
              <w:t>巴音胡硕镇团结大街79号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8"/>
                <w:rFonts w:hint="eastAsia" w:ascii="楷体_GB2312" w:eastAsia="楷体_GB2312" w:cs="楷体_GB2312"/>
                <w:sz w:val="28"/>
                <w:szCs w:val="28"/>
                <w:bdr w:val="none" w:color="auto" w:sz="0" w:space="0"/>
                <w:lang w:val="en-US"/>
              </w:rPr>
              <w:t>杨劲松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8"/>
                <w:bdr w:val="none" w:color="auto" w:sz="0" w:space="0"/>
                <w:lang w:val="en-US"/>
              </w:rPr>
              <w:t>1297</w:t>
            </w:r>
            <w:r>
              <w:rPr>
                <w:rStyle w:val="18"/>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8"/>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8"/>
                <w:rFonts w:hint="eastAsia" w:ascii="楷体_GB2312" w:eastAsia="楷体_GB2312" w:cs="楷体_GB2312"/>
                <w:sz w:val="28"/>
                <w:szCs w:val="28"/>
                <w:bdr w:val="none" w:color="auto" w:sz="0" w:space="0"/>
                <w:lang w:val="en-US"/>
              </w:rPr>
              <w:t>中共锡林郭勒盟乌拉盖管理区工作委员会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sz w:val="32"/>
                <w:szCs w:val="24"/>
                <w:bdr w:val="none" w:color="auto" w:sz="0" w:space="0"/>
                <w:lang w:val="en-US"/>
              </w:rPr>
              <w:t>601.36</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8"/>
                <w:sz w:val="32"/>
                <w:szCs w:val="32"/>
                <w:bdr w:val="none" w:color="auto" w:sz="0" w:space="0"/>
                <w:lang w:val="en-US"/>
              </w:rPr>
              <w:t>792.69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8"/>
                <w:bdr w:val="none" w:color="auto" w:sz="0" w:space="0"/>
                <w:lang w:val="en-US"/>
              </w:rPr>
              <w:t>2023年，我单位遵守国家有关法律法规和《事业单位登记管理暂行条例》及其实施细则的规定，按照宗旨和业务范围开展相关活动，没有涉及办理变更登记的事项，没有违法违规等情况。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8"/>
                <w:rFonts w:hint="eastAsia" w:ascii="楷体_GB2312" w:eastAsia="楷体_GB2312" w:cs="楷体_GB2312"/>
                <w:sz w:val="28"/>
                <w:szCs w:val="24"/>
                <w:bdr w:val="none" w:color="auto" w:sz="0" w:space="0"/>
                <w:lang w:val="en-US"/>
              </w:rPr>
              <w:t xml:space="preserve">2023年，乌拉盖管理区融媒体中心始终坚持以习近平新时代中国特色社会主义思想为统领，紧紧围绕管理区党工委、管委会中心工作，牢牢把握正确的舆论导向，充分发挥全媒体宣传优势，推动全媒体传播体系优质运行，为实现“模范自治区”，构建和谐乌拉盖营造良好的舆论氛围。 一、积极探索传统媒体和新媒体融合的综合运用 一是立足中心工作，服务管理区经济社会发展大局。乌拉盖管理区融媒体中心自挂牌成立以来，始终以管理区经济社会发展为中心，精心策划新闻选题，注重策划百姓关心、社会关注的新闻报道，深入开展新闻宣传，为管理区经济社会发展加油鼓劲。坚持提前谋划宣传主题，以生态保护、乡村振兴、招商引资、旅游事业发展、民生关注领域、重点项目建设等为宣传重点，用新闻语言讲好乌拉盖故事，用记者镜头展示管理区社会事业和经济发展的新成果、新成效。 二、强化管理，媒体融合效应显著呈现。在融媒体中心运营管理过程中，我中心融合、发展、管理并行，建立了科学有效的媒体管理机制，培育了良好的舆论环境，不断地构建舆论传播新格局。目前，中心利用已经投入使用的信息传播平台，已逐步实现由传统媒体向新媒体的工作方式转变，构建了传统媒体+新媒体的新型传播体系，并不断完善。 二、把握舆论导向，持续提升融合宣传成效 一是外宣上稿，提质提量。《寒潮持续影响我国北方多地大幅降温》《内蒙古寒潮来袭做好清雪除冰供热等保障工作》《内蒙古各地全力应对暴雪寒潮天气》《以暖流抵御寒流各地切实做好各项民生保障工作》，在中央广播电视总台播出《暴雪后“神兽”的福利》在内蒙古广播电视台新闻天天看栏目播出，《聚焦高质量发展丨乌拉盖：三大“绿色”产业守护“天边草原”》《“华西牛”单头拍卖出66万元高价》《党建引领牛产业乡村振兴犇富路》等多篇稿件获新华网客户端首页推荐，其中《聚焦高质量发展丨乌拉盖：三大“绿色”产业守护“天边草原”》获新华网首页首屏推荐，点击量超260万次。《内蒙古乌拉盖管理区：以“人才兴”赋能“产业强”》《锡林郭勒盟着力打造华西牛新品种繁育和供应基地》《天边草原内蒙古乌拉盖山水绘锦绣 文旅趁势起》等稿件获新华社客户端推荐、《内蒙古自治区乌拉盖管理区：多措并举推动生态环境质量持续改善》获《人民日报》客户端首页推荐；《冬赏布林泉》《遇见天边草原丨北疆春暖候鸟归》等稿件在“学习强国”中央级主平台采用。《AI识别、3D定位！这个系统、让森林草原防火有了“智慧眼”》《投资10.75亿元 全力打造全国知名草原生态文明旅游首选地》等稿件在“学习强国”内蒙古分平台发表。年内，管理区融媒体中心获得“学习强国”内蒙古学习平台2022年度优秀通讯站，1名记者获得优秀通讯员。乌拉盖管理区融媒体中心在《2021-2022年度全盟广播电视台优秀通讯员及先进集体的决定》中荣获先进集体称号，三名记者获得优秀通讯员奖项，2名记者获得《行进在乡村振兴路上》大型异地采访活动优秀记者荣誉称号。《天边草原乌拉盖：传承红色文化精神 走向“红绿相映”乐章》短视频在2023年度锡林郭勒优秀网络作品中获得二等奖。 二是内宣策划，亮点纷呈。2023年度，融媒体中心播出《乌拉盖新闻》（蒙、汉语）共180期，播发新闻稿件585条，其中汉语新闻321条，蒙语新闻264条；汉语新闻相继开设《推动五大任务见行见效》《新时代、新征程、新伟业》《优化营商环境进行时》《行进在乡村振兴路上》《中华民族一家亲·同心共筑中国梦》《担当作为好干部》《榜样就在身边》《强信心、勇担当、善作为》《落实安全责任 推动安全发展》等共播发新闻68期。 三是新媒体工作开展有序运行。在微信公众号“天边草原乌拉盖”、学习强国、抖音、快手、视频号等新媒体发布平台，我中心积极开设专题专栏、组织网络直播、制作图文并茂的资讯，及时转载中央、自治区级、盟级重点报道。通过“天边草原乌拉盖”微信公众平台相继开设专栏《推动五大任务见行见效》《新时代新征程新伟业》《强信心勇担当善作为》《学思想强党性重实践建新功》《招商引资在行动》《优化营商环境进行时》《二十大代表风采录》等专栏发布信息 2820余篇，总阅读量6000万次；《学习强国》内蒙古平台发布作品82条，其中《学习强国》主平台发布作品5条。中央级媒体（《人民日报》、人民网、新华社、央广网、中国新闻网、CCTV2、CCTV13）刊发稿件116条，其中融媒体中心自主采写稿件刊发62条（中央级媒体头条、首页、首屏、亮点、推荐16条），为各部门推送稿件54条。抖音、视频号截至目前发布消息730期；快手共播发信息305期；奔腾融媒客户端播发消息 600余期； 年内，我中心采取现场直播形式，在抖音、快手、视频号策划系列专题直播。“东方甄选”直播活动在线人数27.8万人，“天边大草原 纯美乌拉盖”累计在线人数15.69万人，“锡林郭勒盟2023年重点项目集中开工仪式”乌拉盖管理区分会场在线人数4.8万人，“乘着大巴看中国 | 天边草原在乌拉盖拥抱碧草如歌”在线人数3.7万人，“乌拉盖管理区2023年搏克精英赛正在进行！”在线人数1.1万人，“庆祝中华人民共和国成立74周年合唱比赛”在线人数1.7万人，其中乌拉盖管理区“高质量发展重大项目开工仪式”“苍狼沃野，青绿有约”天边草原乌拉盖走进青城旅游宣传周暨招商引资活动周、乌拉盖管理区走进北京文旅宣传和招商引资活动周，在《人民日报》客户端、央广网、中国网等28家中央级主流媒体和300家综合资讯媒体，200家客户端和地方媒体，以及1500家各类行业网站及地方网站刊发“活动周”新闻信息2300篇（条），浏览量达1400万人次，累计在线观看人数600余万人次。专题片宣传片制作精彩不断， 2023年度，融媒体中心着力激发专题制作团队的内在活力和内容生产能力，设立专题工作室，持续丰富融媒产品形态，生产创作了《天边草原乌拉盖 区情介绍片》《天边草原乌拉盖 招商引资宣传片》国家安全微视频《守护》《天边草原乌拉盖心之向往的诗和远方》《七月相约青绿》等一大批富有时代气息，广传播、接地气的爆款产品。完成第四届种公牛拍卖会、文旅宣传、国家安全、人才振兴等宣传片10个，其中《遇见天边草原北疆春暖候鸟归》《遇见天边草原 多彩九曲》国家安全微视频《守护》等上稿学习强国平台。 三、以党建为引领，推动新闻事业全面发展 一是加强政治建设，筑牢信仰之基。融媒体中心党支部坚持把党的政治建设摆在首位，始终把学习贯彻习近平新时代中国特色社会主义思想作为重要政治任务，深入学习领会习近平总书记对内蒙古的重要指示精神、党的二十大精神，引导党员干部职工领悟“两个确立”的决定性意义、增强“四个意识”、坚定“四个自信”、做到“两个维护”，全面加强党员干部职工的思想政治建设，党员干部的政治信仰、政治觉悟、政治能力不断提高。通过专题研讨、讲党课、周例会集中学习、主题教育学习，推动理论学习往深里走、往实里走、往心里走。严格履行党组织主体责任和班子成员“一岗双责”责任，健全完善单位制度体系，强化制度落实，从源头上有效遏制腐败行为的发生。扎实开展“对标创先”行动，坚持问题导向，查摆问题，扎实推进整改任务落实，营造清廉为荣的政治生态、积极健康的工作氛围。 二是加强制度建设，提升服务效率。积极规范和完善党支部内部管理运行机制，规范换届选举、发展党员、党费收缴、档案资料管理等各项工作。为加快提升服务效能，修订完善中心各项管理制度，严肃工作纪律，规范职工行为，细化任务分工。严格落实“三审”制度，重要信息发布不过夜、重大新闻第一时间发布、“三审三校”制度及时落实、部门单位稿件第一时间审核等，确保“三审”匏澜恰⒔谀磕谌菥挤⒉肌⒛谌萆悴畲怼踩コ隽闶鹿省&amp;#65533; 三是加强队伍建设，增强党建活力。以党建为统领，强化措施，推进党建与业务工作“双驱动”。优化设置党组织，选优配强支部班子。围绕管理区中心工作和宣传重点，制定宣传任务，同时，加强与上级各类媒体联动，通过走出去、请进来的方式，拓展职工技能培训，努力打造一支全媒体人才队伍。通过上下联动、内外推动，增强了新闻传播力。积极履行联合党委轮值书记职责，扎实开展“双服务”、在职党员进社区等活动，陆续开展了慰问困难群众和老党员，“助力高考”，庆“七·一”等活动，组织党员进社区参观学习、积极参加“感党恩 听党话 跟党走”庆祝中华人民共和国成立74周年红歌合唱比赛。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8"/>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8"/>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20"/>
          <w:rFonts w:hint="eastAsia" w:ascii="楷体_GB2312" w:eastAsia="楷体_GB2312" w:cs="楷体_GB2312"/>
          <w:sz w:val="28"/>
          <w:szCs w:val="28"/>
          <w:lang w:val="en-US"/>
        </w:rPr>
        <w:t>武玉鑫</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20"/>
          <w:rFonts w:hint="eastAsia" w:ascii="楷体_GB2312" w:eastAsia="楷体_GB2312" w:cs="楷体_GB2312"/>
          <w:sz w:val="28"/>
          <w:szCs w:val="28"/>
          <w:lang w:val="en-US"/>
        </w:rPr>
        <w:t xml:space="preserve">15247872345  </w:t>
      </w:r>
      <w:r>
        <w:rPr>
          <w:rFonts w:hint="eastAsia" w:ascii="楷体_GB2312" w:eastAsia="楷体_GB2312" w:cs="楷体_GB2312"/>
          <w:b/>
          <w:bCs/>
          <w:sz w:val="28"/>
          <w:szCs w:val="28"/>
          <w:lang w:eastAsia="zh-CN"/>
        </w:rPr>
        <w:t>报送日期：</w:t>
      </w:r>
      <w:r>
        <w:rPr>
          <w:rStyle w:val="20"/>
          <w:rFonts w:hint="eastAsia" w:ascii="楷体_GB2312" w:eastAsia="楷体_GB2312" w:cs="楷体_GB2312"/>
          <w:b/>
          <w:bCs/>
          <w:sz w:val="28"/>
          <w:szCs w:val="28"/>
          <w:lang w:val="en-US"/>
        </w:rPr>
        <w:t>2024年03月05日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黑体">
    <w:panose1 w:val="020B0500000000000000"/>
    <w:charset w:val="86"/>
    <w:family w:val="auto"/>
    <w:pitch w:val="fixed"/>
    <w:sig w:usb0="30000083" w:usb1="2BDF3C10" w:usb2="00000016" w:usb3="00000000" w:csb0="602E0107" w:csb1="00000000"/>
  </w:font>
  <w:font w:name="@楷体_GB2312">
    <w:panose1 w:val="020B0500000000000000"/>
    <w:charset w:val="86"/>
    <w:family w:val="auto"/>
    <w:pitch w:val="fixed"/>
    <w:sig w:usb0="30000083" w:usb1="2BDF3C10" w:usb2="00000016" w:usb3="00000000" w:csb0="602E0107" w:csb1="00000000"/>
  </w:font>
  <w:font w:name="楷体_GB2312">
    <w:panose1 w:val="02010609030101010101"/>
    <w:charset w:val="86"/>
    <w:family w:val="auto"/>
    <w:pitch w:val="fixed"/>
    <w:sig w:usb0="00000001" w:usb1="080E0000" w:usb2="00000000" w:usb3="00000000" w:csb0="00040000" w:csb1="00000000"/>
  </w:font>
  <w:font w:name="Cambria Math">
    <w:altName w:val="DejaVu Math TeX Gyre"/>
    <w:panose1 w:val="02040503050406030204"/>
    <w:charset w:val="01"/>
    <w:family w:val="auto"/>
    <w:pitch w:val="variable"/>
    <w:sig w:usb0="00000000" w:usb1="00000000" w:usb2="00000000" w:usb3="00000000" w:csb0="00000000" w:csb1="00000000"/>
  </w:font>
  <w:font w:name="@宋体">
    <w:panose1 w:val="020B0500000000000000"/>
    <w:charset w:val="86"/>
    <w:family w:val="auto"/>
    <w:pitch w:val="variable"/>
    <w:sig w:usb0="3000008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7E3EA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51"/>
    <w:basedOn w:val="13"/>
    <w:uiPriority w:val="0"/>
    <w:rPr>
      <w:rFonts w:hint="eastAsia" w:ascii="黑体" w:hAnsi="宋体" w:eastAsia="黑体" w:cs="黑体"/>
      <w:sz w:val="36"/>
      <w:szCs w:val="24"/>
    </w:rPr>
  </w:style>
  <w:style w:type="character" w:customStyle="1" w:styleId="17">
    <w:name w:val="hps"/>
    <w:basedOn w:val="13"/>
    <w:uiPriority w:val="0"/>
  </w:style>
  <w:style w:type="character" w:customStyle="1" w:styleId="18">
    <w:name w:val="font71"/>
    <w:basedOn w:val="13"/>
    <w:uiPriority w:val="0"/>
    <w:rPr>
      <w:rFonts w:hint="default" w:ascii="Times New Roman" w:hAnsi="Times New Roman" w:eastAsia="楷体_GB2312" w:cs="Times New Roman"/>
      <w:sz w:val="28"/>
      <w:szCs w:val="24"/>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45392.4375000016</TotalTime>
  <ScaleCrop>false</ScaleCrop>
  <LinksUpToDate>false</LinksUpToDate>
  <CharactersWithSpaces>658</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雨林木风</dc:creator>
  <cp:lastModifiedBy>inspur</cp:lastModifiedBy>
  <dcterms:modified xsi:type="dcterms:W3CDTF">2024-04-10T10:35:33Z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0107AC52D9D049B3F5FA1566CB75E232</vt:lpwstr>
  </property>
</Properties>
</file>