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12152500552846119P</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锡林郭勒盟维权中心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锡林郭勒盟维权中心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协助处理相关投诉举报案件，拟订全盟市场监督管理投诉举报网络体系规划，承担全盟市场监督管理系统“12315”方面的事务性工作，承担个体私营经济发展相关服务工作,参与消费者维权领域的公益诉讼、听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锡林浩特市经济开发区阿巴嘎街5号,锡林郭勒盟市场监督管理局办公楼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14</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锡林郭勒盟市场监督管理局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sz w:val="32"/>
                <w:szCs w:val="24"/>
                <w:bdr w:val="none" w:color="auto" w:sz="0" w:space="0"/>
                <w:lang w:val="en-US"/>
              </w:rPr>
              <w:t>.0528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锡林郭勒盟维权中心.公益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2023年度我单位认真执行《事业单位登记管理暂行条例》及《事业单位登记管理暂行条例实施细则》，根据有关法律、法规和政策，严格按照核准登记的宗旨和业务范围开展活动。本年度共进行变更登记0（次）。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锡盟维权中心为贯彻落实党的二十大和中央经济工作会议中有关全面促进消费、着力扩大内需、推动高质量发展的要求，以“提振消费信心”年主题为主线，以解决消费热点、投诉难点为抓手，以营造健康和谐的消费环境为己任，指导全盟消协组织做好各项消费维权工作，凝聚社会各方面力量，增强消费维权社会合力，推动维权工作再上新台阶。 一、紧扣维权年主题 构建放心消费环境 1、“3·15”国际消费者权益日 2023年在第41个国际消费者权益日举办“3·15”国际消费者权益日大型现场宣传活动； 2、消协系统录入完成工作 2023年使用旧版中消协投诉信息系统录入案件4209件，投诉解决率99.65%；向自治区消协报送典型案例20件；发布2023年投诉分析报告5期、消费投诉信息公示4期； 3、“月月3·15”宣传活动 2023年由自治区消费者协会、盟市场监督管理局、盟消协主办，市市场监督管理局 市消协、东乌市场监督管理局协办“月月3·15—提振消费信心 我们在行动”暨美丽草原我的家 放心消费靠大家放心消费体察宣传活动； 4、创建“放心消费示范街区（商圈）”“放心消费示范单位”“线下无理由退换货”示范店 2023年我盟新建自治区级“放心消费示范街区（商圈）”4个，分别为：锡盟维多利商贸有限公司、锡盟首放园区、东乌时代新城商圈、苏尼特左旗丝梦源孵化器商务有限公司；共发展盟级“放心消费示范单位”10家：内蒙古东方牧都食品有限公司、锡盟联强伟业电子科技有限公司、锡市好莱客整体家具定制专卖店、西乌艾润萨利奶制品、东乌旗毓冠体育、内蒙古太仆寺旗草原酿酒、锡盟红井源油脂有限责任公司、多伦红玉髓玛瑙文化产业公司、正镶白旗蒙原木雕工艺有限公司、乌拉盖布林泉文化旅游开发有限公司；盟级“线下无理由退换货”示范店4家：锡市三农超市、锡市蒙辉商贸有限公司（维多利）、锡市福佳生活超市、苏尼特右旗金叶超市、苏尼特右旗海尔其乐家电商行； 5、消费维权志愿者建设工作 2023年锡盟消协为16位消费维权志愿者颁发了聘书，向自治区报送全盟消费志愿者14人，其中专业维权志愿者3人； 6、“内蒙古自治区消费教育基地”创建工作 2023年已完成的锡盟首放园区、东乌阿音奈养老园区、东乌第三幼儿园、黄旗航空科普馆、阿巴嘎旗照富经贸有限责任公司共5家自治区级消费教育基地； 7、消协组织机构的恢复设立 2023年按期完成2022年度锡盟消协年检工作。 二、聚焦民生诉求 提升消费维权效能 1、12345政务服务便民热线 2023年1月至12月全盟12345政务服务便民热线投诉4553件，响应率99.81%，办结率99.01%，满意率100%； 2、全国12315平台 2023年全盟各级消费者申诉举报中心共接到消费者投诉、举报、咨询6386件，其中投诉5322件，争议金额598.5万元，挽回经济损失95.7万元；举报752件，咨询312件；投诉按时办结率99.37%；举报按时核查率达到98.6%； 3、ODR企业和“五进”情况 2023年新建“消费维权服务站”2个，同时对原有站点进行清理规范，撤销不能正常履责的站点1个。全盟目前备案在册的“消费维权服务站”共88个，其中商场站点22个、市场站点4个、超市站点17个、企业站点25个、景区站点6个、其他站点14个。全盟商场、市场、超市、企业、景区等经营主体设立的“消费维权服务站”共处理消费纠纷674件，纠纷争议金额0.85万元，促成和解647件，和解率97.91%。 三、推动惠企宣传 强化桥梁纽带作用 1、全盟个体劳动者私营企业协会的恢复与创建工作 2023年参照《中共中央国务院关于促进民营经济发展壮大的意见》和《市场监管总局关于新形势下发挥个体劳动者私营企业协会作用助推个体私营经济高质量发展的意见》精神，与总局、区局的相关工作保持高度一致，向民政主管部门提交申请，将“锡盟个体劳动者协会”与“锡盟私营企业管理协会”的业务进行整合，同时，将两个协会的名称变更为:锡林郭勒盟个体劳动者私营企业协会，并完成换届工作； 2、充分发挥个私协会紧密联系个体私营企业的优势 2023年3月11日联合盟就业服务中心、维多利商贸有限公司在锡林浩特市开展以“暖心送岗 乐业赋能”为主题的商贸企业专场招聘会，活动现场50余家锡市地区商贸企业进场揽才，提供就业岗位1000余个，现场吸引1200余人次求职，初步达成就业意向57人。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8"/>
          <w:rFonts w:hint="eastAsia" w:ascii="楷体_GB2312" w:eastAsia="楷体_GB2312" w:cs="楷体_GB2312"/>
          <w:sz w:val="28"/>
          <w:szCs w:val="28"/>
          <w:lang w:val="en-US"/>
        </w:rPr>
        <w:t>赵美美</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8"/>
          <w:rFonts w:hint="eastAsia" w:ascii="楷体_GB2312" w:eastAsia="楷体_GB2312" w:cs="楷体_GB2312"/>
          <w:sz w:val="28"/>
          <w:szCs w:val="28"/>
          <w:lang w:val="en-US"/>
        </w:rPr>
        <w:t xml:space="preserve">18704794555  </w:t>
      </w:r>
      <w:r>
        <w:rPr>
          <w:rFonts w:hint="eastAsia" w:ascii="楷体_GB2312" w:eastAsia="楷体_GB2312" w:cs="楷体_GB2312"/>
          <w:b/>
          <w:bCs/>
          <w:sz w:val="28"/>
          <w:szCs w:val="28"/>
          <w:lang w:eastAsia="zh-CN"/>
        </w:rPr>
        <w:t>报送日期：</w:t>
      </w:r>
      <w:r>
        <w:rPr>
          <w:rStyle w:val="18"/>
          <w:rFonts w:hint="eastAsia" w:ascii="楷体_GB2312" w:eastAsia="楷体_GB2312" w:cs="楷体_GB2312"/>
          <w:b/>
          <w:bCs/>
          <w:sz w:val="28"/>
          <w:szCs w:val="28"/>
          <w:lang w:val="en-US"/>
        </w:rPr>
        <w:t>2024年01月30日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F8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2024-04-10T10:34:08Z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291FCBC342CF5AB6A0FA1566F7B2F216</vt:lpwstr>
  </property>
</Properties>
</file>