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12152500597304655Q</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锡林郭勒盟不动产登记服务中心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锡林郭勒盟不动产登记服务中心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承担全盟自然资源和不动产统一确权登记、权籍调查、不动产测绘、权属争议调处的技术支撑工作以及全盟统一确权登记资料的收集整理、数据分析、成果汇交、信息咨询、共享应用，不动产统一登记业务培训，协助制定相关配套政策、技术规范等辅助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锡林浩特市锡林大街西32号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张立军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6</w:t>
            </w:r>
            <w:r>
              <w:rPr>
                <w:rStyle w:val="18"/>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8"/>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8"/>
                <w:rFonts w:hint="eastAsia" w:ascii="楷体_GB2312" w:eastAsia="楷体_GB2312" w:cs="楷体_GB2312"/>
                <w:sz w:val="28"/>
                <w:szCs w:val="28"/>
                <w:bdr w:val="none" w:color="auto" w:sz="0" w:space="0"/>
                <w:lang w:val="en-US"/>
              </w:rPr>
              <w:t>锡林郭勒盟自然资源局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sz w:val="32"/>
                <w:szCs w:val="24"/>
                <w:bdr w:val="none" w:color="auto" w:sz="0" w:space="0"/>
                <w:lang w:val="en-US"/>
              </w:rPr>
              <w:t>5.59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8"/>
                <w:sz w:val="32"/>
                <w:szCs w:val="32"/>
                <w:bdr w:val="none" w:color="auto" w:sz="0" w:space="0"/>
                <w:lang w:val="en-US"/>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锡林郭勒盟不动产登记服务中心.公益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8"/>
                <w:bdr w:val="none" w:color="auto" w:sz="0" w:space="0"/>
                <w:lang w:val="en-US"/>
              </w:rPr>
              <w:t>2023年度我单位认真执行《事业单位登记管理暂行条例》及《事业单位登记管理条例实施细则》，根据有关法律、法规和政策，严格按照核准登记的宗旨和业务范围开展活动，全年无变更。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8"/>
                <w:rFonts w:hint="eastAsia" w:ascii="楷体_GB2312" w:eastAsia="楷体_GB2312" w:cs="楷体_GB2312"/>
                <w:sz w:val="28"/>
                <w:szCs w:val="24"/>
                <w:bdr w:val="none" w:color="auto" w:sz="0" w:space="0"/>
                <w:lang w:val="en-US"/>
              </w:rPr>
              <w:t xml:space="preserve">一、落实《自然资源部关于开展不动产登记队伍作风常态化建设的通知》（自然资发[2022]144号）精神，年初按照厅下发的工作方案，及时制定了《锡林郭勒盟不动产登记队伍作风常态化建设暨作风和素质提升专项行动方案》并转发各旗县市（区）不动产登记服务中心。 二、按照全区开展不动产登记队伍作风建设和存量数据整合工作检查的通知要求，我中心参加了全区不动产登记队伍作风建设和存量数据整合工作的检查并赴呼伦贝尔市开展相关业务互查。 三、于2023年5月和10月举办了两期全盟确权登记及暨不动产登记业务培训班，邀请自然资源厅专家进行业务讲解，还通报了各个阶段全盟相关工作的进展情况，督促旗县市区不动产登记队伍按照自治区和盟两级要求，优化营商环境、推动队伍作风建，更好地服务公众、推动经济社会发展。举办了首届全盟不动产专业技能知识竞赛，全盟13个旗县市（区）共计30余人参加了竞赛。 四、全盟累计排查房地产领域“办证难”项目16822套，已完成首次登记具备办证条件14169套，截止12月，扣除无意愿办证套数，全部实现动态清零。 五、自治区工商联提出的企业土地厂房办理不动产登记193个项目锡盟涉及2个项目，已全部完成整改；全盟“举一反三”台账共69个，截止12月，已完成28个，完成率40.58%。 六、按照《关于核定2023年特殊岗位津贴补贴总量、事业单位绩效工资总量和元月工资基数的通知》要求，完成了不动产登记服务中心的元月工资基数和绩效总量核定工作；完成了不动产登记服务中心的房补计算工作；完成中心人员职称申报工作；完成中心带薪休假计算工作；完成中心岗位聘用及职称聘用人员工资计算工作；按照《关于开展盟直机关事业单位2023年度工资福利检查的通知》要求，盟人社局对我中心人员工资、津贴补贴、房补、带薪休假等进行了检查。 七、配合做好局机关及确权登记科交办的其他工作。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8"/>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8"/>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4"/>
          <w:rFonts w:hint="eastAsia" w:ascii="楷体_GB2312" w:eastAsia="楷体_GB2312" w:cs="楷体_GB2312"/>
          <w:sz w:val="28"/>
          <w:szCs w:val="28"/>
          <w:lang w:val="en-US"/>
        </w:rPr>
        <w:t>张晓梅</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4"/>
          <w:rFonts w:hint="eastAsia" w:ascii="楷体_GB2312" w:eastAsia="楷体_GB2312" w:cs="楷体_GB2312"/>
          <w:sz w:val="28"/>
          <w:szCs w:val="28"/>
          <w:lang w:val="en-US"/>
        </w:rPr>
        <w:t xml:space="preserve">18247932218  </w:t>
      </w:r>
      <w:r>
        <w:rPr>
          <w:rFonts w:hint="eastAsia" w:ascii="楷体_GB2312" w:eastAsia="楷体_GB2312" w:cs="楷体_GB2312"/>
          <w:b/>
          <w:bCs/>
          <w:sz w:val="28"/>
          <w:szCs w:val="28"/>
          <w:lang w:eastAsia="zh-CN"/>
        </w:rPr>
        <w:t>报送日期：</w:t>
      </w:r>
      <w:r>
        <w:rPr>
          <w:rStyle w:val="14"/>
          <w:rFonts w:hint="eastAsia" w:ascii="楷体_GB2312" w:eastAsia="楷体_GB2312" w:cs="楷体_GB2312"/>
          <w:b/>
          <w:bCs/>
          <w:sz w:val="28"/>
          <w:szCs w:val="28"/>
          <w:lang w:val="en-US"/>
        </w:rPr>
        <w:t>2024年03月25日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BFDB5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20"/>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hps"/>
    <w:basedOn w:val="13"/>
    <w:uiPriority w:val="0"/>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71"/>
    <w:basedOn w:val="13"/>
    <w:uiPriority w:val="0"/>
    <w:rPr>
      <w:rFonts w:hint="default" w:ascii="Times New Roman" w:hAnsi="Times New Roman" w:eastAsia="楷体_GB2312" w:cs="Times New Roman"/>
      <w:sz w:val="28"/>
      <w:szCs w:val="24"/>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页眉 Char"/>
    <w:basedOn w:val="13"/>
    <w:link w:val="9"/>
    <w:locked/>
    <w:uiPriority w:val="0"/>
    <w:rPr>
      <w:rFonts w:hint="default"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2024-04-10T10:33:39Z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8255B7759218D98B83FA1566B1451B8A</vt:lpwstr>
  </property>
</Properties>
</file>