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17"/>
          <w:b/>
          <w:bCs/>
          <w:sz w:val="30"/>
          <w:szCs w:val="30"/>
          <w:lang w:val="en-US"/>
        </w:rPr>
        <w:t>12152500695921331H</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7"/>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405" w:type="dxa"/>
            <w:shd w:val="clear"/>
            <w:vAlign w:val="bottom"/>
          </w:tcPr>
          <w:p>
            <w:pPr>
              <w:jc w:val="distribute"/>
            </w:pPr>
            <w:r>
              <w:rPr>
                <w:rStyle w:val="20"/>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eastAsia="楷体_GB2312" w:cs="楷体_GB2312"/>
                <w:sz w:val="32"/>
                <w:szCs w:val="24"/>
                <w:bdr w:val="none" w:color="auto" w:sz="0" w:space="0"/>
                <w:lang w:val="en-US"/>
              </w:rPr>
            </w:pPr>
            <w:r>
              <w:rPr>
                <w:rStyle w:val="18"/>
                <w:rFonts w:hint="eastAsia" w:ascii="楷体_GB2312" w:eastAsia="楷体_GB2312" w:cs="楷体_GB2312"/>
                <w:sz w:val="32"/>
                <w:szCs w:val="24"/>
                <w:bdr w:val="none" w:color="auto" w:sz="0" w:space="0"/>
                <w:lang w:val="en-US"/>
              </w:rPr>
              <w:t>锡林郭勒盟乌拉盖管理区政务服务中心</w:t>
            </w:r>
          </w:p>
        </w:tc>
      </w:tr>
    </w:tbl>
    <w:p>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365" w:type="dxa"/>
            <w:shd w:val="clear"/>
            <w:vAlign w:val="bottom"/>
          </w:tcPr>
          <w:p>
            <w:pPr>
              <w:jc w:val="distribute"/>
            </w:pPr>
            <w:r>
              <w:rPr>
                <w:rStyle w:val="20"/>
                <w:b/>
                <w:bCs/>
                <w:sz w:val="36"/>
                <w:szCs w:val="24"/>
                <w:bdr w:val="none" w:color="auto" w:sz="0" w:space="0"/>
              </w:rPr>
              <w:t>法</w:t>
            </w:r>
            <w:r>
              <w:rPr>
                <w:rStyle w:val="20"/>
                <w:b/>
                <w:bCs/>
                <w:spacing w:val="30"/>
                <w:sz w:val="36"/>
                <w:szCs w:val="24"/>
                <w:bdr w:val="none" w:color="auto" w:sz="0" w:space="0"/>
              </w:rPr>
              <w:t>定代表</w:t>
            </w:r>
            <w:r>
              <w:rPr>
                <w:rStyle w:val="20"/>
                <w:b/>
                <w:bCs/>
                <w:sz w:val="36"/>
                <w:szCs w:val="24"/>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kern w:val="0"/>
                <w:sz w:val="20"/>
                <w:szCs w:val="20"/>
                <w:bdr w:val="none" w:color="auto" w:sz="0" w:space="0"/>
                <w:lang w:val="en-US"/>
              </w:rPr>
            </w:pPr>
          </w:p>
        </w:tc>
      </w:tr>
    </w:tbl>
    <w:p>
      <w:pPr>
        <w:ind w:left="0" w:firstLine="722"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pPr>
              <w:spacing w:line="320" w:lineRule="exact"/>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锡林郭勒盟乌拉盖管理区政务服务中心（乌拉盖管理区公共资源交易中心、乌拉盖管理区党群服务中心）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负责为乌拉盖管理区政务服务中心集中审批驻厅单位提供“一站式”服务，实行统一管理；负责驻厅单位并联审批等协调服务工作；负责受理咨询、问题解答、办理反馈等工作；负责管理区公共资源交易平台与场所的建设、管理和运维；承担管理区公共资源交易项目的组织实施和管理服务工作；承担管理区政府集中采购相关工作；负责乌拉盖管理区党群服务中心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9"/>
                <w:rFonts w:hint="eastAsia" w:ascii="楷体_GB2312" w:eastAsia="楷体_GB2312" w:cs="楷体_GB2312"/>
                <w:sz w:val="28"/>
                <w:szCs w:val="28"/>
                <w:bdr w:val="none" w:color="auto" w:sz="0" w:space="0"/>
                <w:lang w:val="en-US"/>
              </w:rPr>
              <w:t>乌拉盖管理区巴音胡硕镇东风大街5号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9"/>
                <w:rFonts w:hint="eastAsia" w:ascii="楷体_GB2312" w:eastAsia="楷体_GB2312" w:cs="楷体_GB2312"/>
                <w:sz w:val="28"/>
                <w:szCs w:val="28"/>
                <w:bdr w:val="none" w:color="auto" w:sz="0" w:space="0"/>
                <w:lang w:val="en-US"/>
              </w:rPr>
              <w:t>王学娟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1480</w:t>
            </w:r>
            <w:r>
              <w:rPr>
                <w:rStyle w:val="19"/>
                <w:rFonts w:hint="eastAsia" w:ascii="楷体_GB2312" w:eastAsia="楷体_GB2312" w:cs="楷体_GB2312"/>
                <w:sz w:val="28"/>
                <w:szCs w:val="28"/>
                <w:bdr w:val="none" w:color="auto" w:sz="0" w:space="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rPr>
                <w:sz w:val="32"/>
                <w:szCs w:val="32"/>
                <w:bdr w:val="none" w:color="auto" w:sz="0" w:space="0"/>
                <w:lang w:val="en-US"/>
              </w:rPr>
            </w:pPr>
            <w:r>
              <w:rPr>
                <w:rStyle w:val="19"/>
                <w:rFonts w:hint="eastAsia" w:ascii="楷体_GB2312" w:eastAsia="楷体_GB2312" w:cs="楷体_GB2312"/>
                <w:sz w:val="28"/>
                <w:szCs w:val="28"/>
                <w:bdr w:val="none" w:color="auto" w:sz="0" w:space="0"/>
                <w:lang w:val="en-US"/>
              </w:rPr>
              <w:t>财政补助（全额拨款）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pPr>
            <w:r>
              <w:rPr>
                <w:rStyle w:val="19"/>
                <w:rFonts w:hint="eastAsia" w:ascii="楷体_GB2312" w:eastAsia="楷体_GB2312" w:cs="楷体_GB2312"/>
                <w:sz w:val="28"/>
                <w:szCs w:val="28"/>
                <w:bdr w:val="none" w:color="auto" w:sz="0" w:space="0"/>
                <w:lang w:val="en-US"/>
              </w:rPr>
              <w:t>锡盟乌拉盖管理区党政办公室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8"/>
                <w:sz w:val="32"/>
                <w:szCs w:val="24"/>
                <w:bdr w:val="none" w:color="auto" w:sz="0" w:space="0"/>
                <w:lang w:val="en-US"/>
              </w:rPr>
              <w:t>1480</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pPr>
              <w:jc w:val="center"/>
            </w:pPr>
            <w:r>
              <w:rPr>
                <w:rStyle w:val="19"/>
                <w:sz w:val="32"/>
                <w:szCs w:val="32"/>
                <w:bdr w:val="none" w:color="auto" w:sz="0" w:space="0"/>
                <w:lang w:val="en-US"/>
              </w:rPr>
              <w:t>1925.18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无</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Style w:val="18"/>
                <w:sz w:val="32"/>
                <w:szCs w:val="24"/>
                <w:bdr w:val="none" w:color="auto" w:sz="0" w:space="0"/>
                <w:lang w:val="en-US"/>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2023年度我单位认真执行《事业单位登记管理暂行条例》及《事业单位登记管理暂行条例实施细则》，根据有关法律、法规和政策，严格按照核准登记的宗旨和业务范围开展活动.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9"/>
                <w:rFonts w:hint="eastAsia" w:ascii="楷体_GB2312" w:eastAsia="楷体_GB2312" w:cs="楷体_GB2312"/>
                <w:sz w:val="28"/>
                <w:szCs w:val="24"/>
                <w:bdr w:val="none" w:color="auto" w:sz="0" w:space="0"/>
                <w:lang w:val="en-US"/>
              </w:rPr>
              <w:t>一、2023年工作开展情况 （一）强化党建引领作用，不断深化政治机关建设。1.抓好理论武装，打牢思想基础。一是建立“第一议题”制度，制定党支部全年工作任务及学习计划清单、“固定党日+”活动计划，组织集中学习30余次，其中主题教育专题学习12次，以廉政教育、党建及业务知识大比武、双进双服务等为主题的“固定党日+”活动12次。严格落实三会一课、组织生活会、民主评议党员等制度，召开党员大会4次，支委会12次。每月对党员“学习强国”平台进行学习情况排名统计。培养入党积极分子2人，按期转正1人。按照业务领域建立青年理论学习小组，开展专题学习40余期。党支部书记及党务工作者积极参加管理区党务培训10余期。围绕“铸牢中华民族共同体意识凝聚民族团结磅礴力量”讲党课1次，开展以携手共“画”民族团结进步同心圆等为主题的党日活动2次。 2.抓好队伍建设，凝聚工作合力。一是组织设置科学，支部班子成员健全，党支部书记认真履行“第一责任人”职责。建立党员花名册和发展党员台账5本，梳理制定党支部制度14项。二是践行“三个一”工作要求，与社区签订共建协议1份、在职党员参与社区共联共建2次、清理积雪1次、慰问活动1次。认真执行社区联合党委和“轮值书记”制度，积极认领“三题三单”服务事项，主动参与基层治理和为民服务工作。三是以党建带动群团建设，开展工会换届选举，明确工会委员会职责，开展职工医疗互助和女职工特殊疾病互助保障活动，累计参互52人次，参互金额3835元，办理职工医疗互助申领补助1人，申领金额310元。推荐女职工1人参加2023年全盟技术工人和示范性职工疗休养活动。9月，中心职工书屋获评“锡林郭勒盟职工书屋”荣誉称号。王学娟同志荣获2023年度管理区“三八红旗手”称号、王学娟家庭荣获2023年自治区“最美家庭”称号、杨娇霞家庭荣获2023年管理区“文明家庭”称号。 3.抓好主题教育，推动全面发展。一是制定主题教育工作安排及学习计划，召开支委会2次研究部署主题教育工作，组织专题学习12次，建立主题教育“六张清单”，征集特殊群众不方便来大厅办事、职工下班时间无法办理业务等问题4个，制定整改措施4条，已全部整改完成。制定《延时、预约服务工作制度》及《上门服务工作制度》，通过建章立制把解决群众“急难愁盼”问题的好做法固定下来。二是围绕习近平总书记关于党的建设的重要思想、“四下基层”等开展专题研讨4次。结合习近平总书记关于本部门本领域重要讲话和重要指示精神，党支部书记围绕“从习近平新时代中国特色社会主义思想蕴含的人民观中感悟为民服务情怀”为全体党员干部职工讲党课。参观红色教育基地，联合哈场巴彦陶海社区开展“学思想、强党性、重实践、建新功”联合主题党日活动。三是积极推进“对标创先”行动，细化全年基层党建工作任务6大项19条，明确具体推进措施64条。6月份，在管理区机关党建争先赛活动中获得事业单位组第一名，荣获党建先锋旗。中心在管理区“感党恩、听党话、跟党走”庆祝中华人民共和国成立74周年红歌合唱比赛中荣获优秀组织奖. （二）强化集中服务功能，助力政务服务效能提升 1.完善集中服务功能，推进审批流程优化。一是中心共有入厅单位43个，入厅事项1591项，除场地和涉密限制外，实现所有事项“应进必进”。认领编制发布政务服务事项1601项，其中依申请类事项988项，公共服务事项613项。二是工改专区、企业开办专区帮办队伍实施“保姆式”服务，对盟级、管理区级重点项目实行预约服务、上门服务、帮代办服务，截至目前，累计受理项目105项，其中社会投资项目27项，政府投资项目78项。受理办结供水、供电、供热、通讯等并行推进项目241件。三是政务服务大厅新建工程内部装修工作有序推进，待2024年新大厅投入使用后，大厅标准化建设水平将大幅提升。 2.全面推行“综合一窗”受理模式，提高政务服务效率。一是设置中心综合窗口6个，分领域综窗9个，为办事群众提供36个单位的1279个事项无差别受理服务。2023年“综合一窗”受理办件15888件，其中线下受理9162件，全程网办6726件。二是“一件事一次办”窗口按照自治区、盟级相关文件要求积极推进112项一件事事项，同时，加大宣传推广力度，积极引导办事群众通过“蒙速办”APP及一体化政务服务平台办理业务，为企业和群众提供更加优质便捷的政务服务。累计产生“一件事一次办”办件35531件，其中单办件32932件，联办件2599件。通过“蒙速办”APP 和一次办系统受理办结新生儿出生“一件事”18件，公民婚育“一件事”93件，公民身后“一件事”79件，办结率均为100%。三是设置“跨省通办”窗口，全面推进24项“全盟通办”事项、91项“跨省通办”事项办理工作，涉及门诊费用报销、就业失业登记、养老保险服务等高频民生服务事项。与湖北十堰、通辽、赤峰、乌审、阿巴嘎旗、多伦等19个地区签订跨省通办协议，累计办件8件。四是设置帮办代办服务窗口，结合双进双服务，为企业群众及老年人、残疾人等特殊群体提供帮办代办服务，累计提供养老资格认证、健康证办理等上门服务120次。五是坚持晨夕会制度。夕会业务分享97次，周考38次，月考12次，组织开展“一件事一次办”、跨区通办、工程项目审批帮办代办等高频服务事项培训17次，礼仪培训3次，心压化解、电脑系统等其他培训14次，着力提高综窗人员的业务受理水平。窗口优质服务得到了管理区广大办事企业和群众的一致好评，收到服务群众表扬信 157封，锦旗 10面。 3.规范窗口审批服务行为，加强窗口标准化建设。一是重新梳理修订窗口管理制度，新增《乌拉盖管理区政务服务中心红黑榜管理制度》。通过每日现场巡查、监控抽查、明察暗访、问卷调查等方式，对全体窗口人员和后台业务运转进行监督检查，严格落实“每日复议”“容错纠错”等制度，窗口人员服务水平、工作纪律明显好转，向窗口单位发送《窗口工作人员纪律提醒函》3次，累计开展月度考核12次。二是要求窗口工作人员规范着装，坚持工作人员挂牌上岗亮职责，党员佩戴党徽亮身份，开展系列评先评优活动，评选2022年度“红旗窗口”3个，“优质服务窗口”3个，年度“服务标兵”2人，年度“先进工作者”4人。三是全面公开各窗口项目审批流程、受理材料、收费标准等内容，制定样表摆放在柜台明显位置供办事者参考。探索推行绿色通道、容缺后补、预约办理、延时错时、“政务云直播”等多种服务，中心含公安窗口、税务窗口、医保窗口、社保窗口、公积金窗口等所有入厅部门在内均提供周六、日上午延时服务。截至目前，累计提供延时服务127次，服务人数400余人次。 4.完善窗口便民服务设施，提升服务群众水平。24小时自助服务区内集中税务、不动产、公积金、市场监督等高频民生类的政务服务自助终端，提供手撕发票领取、营业执照自助申报和打印、公积金信息查询、不动产登记查询等服务。帮代办窗口设立免费复印站点，为房产交易、社保缴费和企业开办等服务提供免费复印服务，设置咨询导引台，为办事群众提供叫号、指引、打印复印等服务，最大程度地利企便民，满足办事群体的需求。 2023年，中心累计受理各类事项55692件，办结率为100%，累计接待办事群众约56824人次，集中收费入库96.6万元。企业开办专区年度企业设立登记137户，个体设立登记598户。为企业免费刻制首套印章2003枚，减免费用222204元，免费邮寄营业执照7件。 （三）强化交易行为规范，打造最优交易平台 1.坚持多措并举，持续优化营商环境。一是开展招标采购文件“回头看”，尤其针对支持中小企业发展等相关政策执行不到位或不符合法律法规规定的内容及时记录，形成台账。二是为市场主体减负，自电子保函系统搭建以来，工程建设交易项目共有484家企业参与投标，除不收取投标保证金的项目外，投标保证金电子保函使用率达92.21%，为投标企业释放资金压力超4878.9万元；建立常态化推进保证金清退台账，目前已成功完成全部保证金清退工作。三是强化信用管理工作，对招标人、招标代理机构在信用承诺的基础上，实行告知制度，禁止在招标文件中对投标人有地域偏好和地域排斥等违法违规行为。同时在评标时查询投标人信用情况并形成台账。四是稳步推进平台标准化建设，新建政务服务大厅重新规划公共资源交易开评标场地，增设建设工程、政府采购独立评标室、评审专家专用电梯、专家食堂、休息室等功能区域，实现评标区域、专家通道与其他区域的物理隔离，更大程度的满足公共资源交易标准化规范化建设需求。 2.强化服务意识，不断提升服务质效。一是主动服务保障管理区各类项目尽早开工建设。结合管理区本年度发展规划，向管理区各预算单位发送招标项目提醒函，主动与招标单位、代理机构、行业主管部门进行沟通和协调，从招标投标角度提出专业的思路和建议，减少投标人因不了解招投标工作流程而产生的时间延误。二是结合管理区三场实际情况为国有企业提供服务，截至目前已完成国有企业建设项目招标项目10项，交易金额6418.87万元。采购项目2项，交易金额795.72万元。三是不断提升电子化服务水平，实现电子化招标采购常态化开展。7月份开始使用新版建设工程交易系统，实现了项目电子化开评标，截至目前，建设项目电子化开评标10项，交通项目电子化开评标6项，交易金额5.12亿元。在政府采购、建设工程全面电子化率100%的基础上，着力推进交通类项目电子化开评标工作，实现交通类项目电子化率87.5%。 3.积极主动作为，全面落实重点工作。一是积极推进政府采购一张网异地评标工作，按照盟中心要求协调采购异地评标设备，完成全盟首例政府采购异地一张网评标工作。二是积极部署不见面开标工作，截至目前已完成政府采购项目不见面开标45项，占所有政府采购项目的100%。5项自然资源土地和矿产资源交易项目全部使用不见面方式竞拍。三是努力探索跨盟市、跨地区异地评</w:t>
            </w:r>
            <w:r>
              <w:rPr>
                <w:rStyle w:val="19"/>
                <w:rFonts w:hint="eastAsia" w:ascii="楷体_GB2312" w:eastAsia="楷体_GB2312" w:cs="楷体_GB2312"/>
                <w:sz w:val="28"/>
                <w:szCs w:val="24"/>
                <w:bdr w:val="none" w:color="auto" w:sz="0" w:space="0"/>
                <w:lang w:val="en-US"/>
              </w:rPr>
              <w:t xml:space="preserve">标工作，分别与二连浩特、呼伦贝尔完成首例跨地区、跨盟市异地评标工作。四是全面落实电子卖场日常运营监督管理责任，定期对电子卖场项目进行巡查并记录，建立电子卖场工作台账，安排专人定期监控异常终止项目，处理异常订单。是重新修订工作规程，规范了工作人员在履行相关岗位职能时，更好地做到有法可依、有章可循、高效服务。设立独立评标监督室，招标人代表及中心工作人员不再进入评标现场，不断增强评标独立性。常态化开展廉政教育，重新梳理廉政风险点，实行一标一评价一记录模式。四是建立质疑转办机制，形成转办与结果公示制度，2023年未收到质疑、转办事项。 （四）强化服务创新多元，建设暖心党群服务阵地 1.理清岗位职责，夯实党群服务基础。党群服务中心按照“一厅四区多室一中心”的标准，规范设置综合便民服务大厅、党群活动区、宣传教育区、日常办公区、办事休息区、社会（基层）治理中心，向党员群众开放党群书吧、健身室等共享空间。设置党建服务、网格治理服务窗口，开展党务政策咨询、办理党费收缴等党内有关业务、梳理党群服务事项清单，印制明白卡，向党员群众进行宣传。党群连心桥系统录入各类活动信息24条，智慧党建系统录入活动信息100余条，在基层党组织建设、“三务”公开等方面发挥了重要作用。 2.创新服务方式，提升党群服务质量。志愿服务队常态化开展政策宣传、业务咨询、办事指引等志愿服务，累计提供叫号取号、打印复印等帮办代办服务10563次，接受群众咨询 9860余人次（含电话咨询），开展环境卫生整治活动8次，服务群众1100余人。与团委联合开展政务服务职业体验活动，将党群服务对象拓展到小学生队伍。创新服务模式，推出“政务云直播”新模式，累计进行市场监管、住房公积金、医保专场等直播7场，累计观看10000多人次，点赞量9.7万余次，解答问题223条。 3.提前统筹谋划，提升党群服务水平。全力推进党群服务中心建设升级。结合新大厅建设，围绕联系、组织、宣传、服务、凝聚、引领党员群众基本职能，结合党员群众多元化需求，升级党群服务窗口及调度中心、宣传教育区、政治生活馆等专区建设，拓展红色阅读、红歌朗诵、休闲阅读、VR体验、直播等功能，打造有温度、受欢迎、聚能量的“红色阵地”，为党员群众提供更多元、更智能、更暖心的服务。 </w:t>
            </w:r>
          </w:p>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4"/>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pPr>
              <w:jc w:val="left"/>
            </w:pPr>
            <w:r>
              <w:rPr>
                <w:rStyle w:val="19"/>
                <w:rFonts w:hint="eastAsia" w:ascii="楷体_GB2312" w:eastAsia="楷体_GB2312" w:cs="楷体_GB2312"/>
                <w:sz w:val="28"/>
                <w:szCs w:val="28"/>
                <w:bdr w:val="none" w:color="auto" w:sz="0" w:space="0"/>
                <w:lang w:val="en-US"/>
              </w:rPr>
              <w:t>2023年11月，乌拉盖管理区政务服务中心党支部被评为全盟坚强堡垒支部和坚强堡垒支部示范点。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jc w:val="left"/>
            </w:pPr>
            <w:r>
              <w:rPr>
                <w:rStyle w:val="19"/>
                <w:rFonts w:hint="eastAsia" w:ascii="楷体_GB2312" w:eastAsia="楷体_GB2312" w:cs="楷体_GB2312"/>
                <w:sz w:val="28"/>
                <w:szCs w:val="28"/>
                <w:bdr w:val="none" w:color="auto" w:sz="0" w:space="0"/>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18"/>
          <w:rFonts w:hint="eastAsia" w:ascii="楷体_GB2312" w:eastAsia="楷体_GB2312" w:cs="楷体_GB2312"/>
          <w:sz w:val="28"/>
          <w:szCs w:val="28"/>
          <w:lang w:val="en-US"/>
        </w:rPr>
        <w:t>杨娇霞</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18"/>
          <w:rFonts w:hint="eastAsia" w:ascii="楷体_GB2312" w:eastAsia="楷体_GB2312" w:cs="楷体_GB2312"/>
          <w:sz w:val="28"/>
          <w:szCs w:val="28"/>
          <w:lang w:val="en-US"/>
        </w:rPr>
        <w:t xml:space="preserve">18747958219  </w:t>
      </w:r>
      <w:r>
        <w:rPr>
          <w:rFonts w:hint="eastAsia" w:ascii="楷体_GB2312" w:eastAsia="楷体_GB2312" w:cs="楷体_GB2312"/>
          <w:b/>
          <w:bCs/>
          <w:sz w:val="28"/>
          <w:szCs w:val="28"/>
          <w:lang w:eastAsia="zh-CN"/>
        </w:rPr>
        <w:t>报送日期：</w:t>
      </w:r>
      <w:r>
        <w:rPr>
          <w:rStyle w:val="18"/>
          <w:rFonts w:hint="eastAsia" w:ascii="楷体_GB2312" w:eastAsia="楷体_GB2312" w:cs="楷体_GB2312"/>
          <w:b/>
          <w:bCs/>
          <w:sz w:val="28"/>
          <w:szCs w:val="28"/>
          <w:lang w:val="en-US"/>
        </w:rPr>
        <w:t>2024年01月17日</w:t>
      </w: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楷体_GB2312">
    <w:panose1 w:val="020B0500000000000000"/>
    <w:charset w:val="86"/>
    <w:family w:val="auto"/>
    <w:pitch w:val="fixed"/>
    <w:sig w:usb0="30000083" w:usb1="2BDF3C10" w:usb2="00000016" w:usb3="00000000" w:csb0="602E0107" w:csb1="00000000"/>
  </w:font>
  <w:font w:name="楷体_GB2312">
    <w:panose1 w:val="02010609030101010101"/>
    <w:charset w:val="86"/>
    <w:family w:val="auto"/>
    <w:pitch w:val="fixed"/>
    <w:sig w:usb0="00000001" w:usb1="080E0000" w:usb2="00000000" w:usb3="00000000" w:csb0="00040000" w:csb1="00000000"/>
  </w:font>
  <w:font w:name="@宋体">
    <w:panose1 w:val="020B0500000000000000"/>
    <w:charset w:val="86"/>
    <w:family w:val="auto"/>
    <w:pitch w:val="variable"/>
    <w:sig w:usb0="30000083" w:usb1="2BDF3C10" w:usb2="00000016" w:usb3="00000000" w:csb0="602E0107" w:csb1="00000000"/>
  </w:font>
  <w:font w:name="Cambria Math">
    <w:altName w:val="DejaVu Math TeX Gyre"/>
    <w:panose1 w:val="02040503050406030204"/>
    <w:charset w:val="01"/>
    <w:family w:val="auto"/>
    <w:pitch w:val="variable"/>
    <w:sig w:usb0="00000000" w:usb1="00000000" w:usb2="00000000" w:usb3="00000000" w:csb0="00000000" w:csb1="00000000"/>
  </w:font>
  <w:font w:name="@黑体">
    <w:panose1 w:val="020B0500000000000000"/>
    <w:charset w:val="86"/>
    <w:family w:val="auto"/>
    <w:pitch w:val="fixed"/>
    <w:sig w:usb0="30000083" w:usb1="2BDF3C10" w:usb2="00000016" w:usb3="00000000" w:csb0="602E01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CB5FB2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6"/>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5"/>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hps"/>
    <w:basedOn w:val="13"/>
    <w:uiPriority w:val="0"/>
  </w:style>
  <w:style w:type="character" w:customStyle="1" w:styleId="15">
    <w:name w:val="页眉 Char"/>
    <w:basedOn w:val="13"/>
    <w:link w:val="9"/>
    <w:locked/>
    <w:uiPriority w:val="0"/>
    <w:rPr>
      <w:rFonts w:hint="default" w:ascii="Times New Roman" w:hAnsi="Times New Roman" w:eastAsia="宋体" w:cs="Times New Roman"/>
      <w:sz w:val="18"/>
      <w:szCs w:val="18"/>
    </w:rPr>
  </w:style>
  <w:style w:type="character" w:customStyle="1" w:styleId="16">
    <w:name w:val="页脚 Char"/>
    <w:basedOn w:val="13"/>
    <w:link w:val="8"/>
    <w:locked/>
    <w:uiPriority w:val="0"/>
    <w:rPr>
      <w:rFonts w:hint="default" w:ascii="Times New Roman" w:hAnsi="Times New Roman" w:eastAsia="宋体" w:cs="Times New Roman"/>
      <w:sz w:val="18"/>
      <w:szCs w:val="18"/>
    </w:rPr>
  </w:style>
  <w:style w:type="character" w:customStyle="1" w:styleId="17">
    <w:name w:val="font21"/>
    <w:basedOn w:val="13"/>
    <w:uiPriority w:val="0"/>
    <w:rPr>
      <w:rFonts w:hint="default" w:ascii="Times New Roman" w:hAnsi="Times New Roman" w:eastAsia="楷体_GB2312" w:cs="Times New Roman"/>
      <w:sz w:val="30"/>
      <w:szCs w:val="24"/>
    </w:rPr>
  </w:style>
  <w:style w:type="character" w:customStyle="1" w:styleId="18">
    <w:name w:val="font61"/>
    <w:basedOn w:val="13"/>
    <w:uiPriority w:val="0"/>
    <w:rPr>
      <w:rFonts w:hint="default" w:ascii="Times New Roman" w:hAnsi="Times New Roman" w:eastAsia="楷体_GB2312" w:cs="Times New Roman"/>
      <w:sz w:val="32"/>
      <w:szCs w:val="24"/>
    </w:rPr>
  </w:style>
  <w:style w:type="character" w:customStyle="1" w:styleId="19">
    <w:name w:val="font71"/>
    <w:basedOn w:val="13"/>
    <w:uiPriority w:val="0"/>
    <w:rPr>
      <w:rFonts w:hint="default" w:ascii="Times New Roman" w:hAnsi="Times New Roman" w:eastAsia="楷体_GB2312" w:cs="Times New Roman"/>
      <w:sz w:val="28"/>
      <w:szCs w:val="24"/>
    </w:rPr>
  </w:style>
  <w:style w:type="character" w:customStyle="1" w:styleId="20">
    <w:name w:val="font51"/>
    <w:basedOn w:val="13"/>
    <w:uiPriority w:val="0"/>
    <w:rPr>
      <w:rFonts w:hint="eastAsia" w:ascii="黑体" w:hAnsi="宋体" w:eastAsia="黑体" w:cs="黑体"/>
      <w:sz w:val="36"/>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1</Pages>
  <Words>98</Words>
  <Characters>561</Characters>
  <Lines>4</Lines>
  <Paragraphs>1</Paragraphs>
  <TotalTime>45392.4375000016</TotalTime>
  <ScaleCrop>false</ScaleCrop>
  <LinksUpToDate>false</LinksUpToDate>
  <CharactersWithSpaces>658</CharactersWithSpaces>
  <Application>WPS Office_11.8.2.11653_F1E327BC-269C-435d-A152-05C5408002CA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1900-01-00T00:00:00Z</dcterms:created>
  <dc:creator>雨林木风</dc:creator>
  <cp:lastModifiedBy>inspur</cp:lastModifiedBy>
  <dcterms:modified xsi:type="dcterms:W3CDTF">2024-04-10T10:33:07Z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EEB64AE8B0ACB22363FA1566329C88ED</vt:lpwstr>
  </property>
</Properties>
</file>