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12152500767896199E</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5"/>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锡林郭勒盟残疾人康复中心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5"/>
                <w:b/>
                <w:bCs/>
                <w:sz w:val="36"/>
                <w:szCs w:val="24"/>
                <w:bdr w:val="none" w:color="auto" w:sz="0" w:space="0"/>
              </w:rPr>
              <w:t>法</w:t>
            </w:r>
            <w:r>
              <w:rPr>
                <w:rStyle w:val="15"/>
                <w:b/>
                <w:bCs/>
                <w:spacing w:val="30"/>
                <w:sz w:val="36"/>
                <w:szCs w:val="24"/>
                <w:bdr w:val="none" w:color="auto" w:sz="0" w:space="0"/>
              </w:rPr>
              <w:t>定代表</w:t>
            </w:r>
            <w:r>
              <w:rPr>
                <w:rStyle w:val="15"/>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锡林郭勒盟残疾人康复中心（锡林郭勒盟残疾人辅助器具服务中心）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负责残疾人的康复服务工作。医疗康复、教育康复、社区康复、康复服务咨询、心理技术支持、康复知识普及；残疾人脑瘫、偏瘫、截瘫、心肺功能障碍、中风后等疾病的康复服务；智障、聋儿、孤独症、低视力儿童的康复训练、医疗保健、智力评估以及聋哑残疾儿童的测听、助听设备的验配、耳膜制作、听力测试、抢救性听力语言训练；残疾儿童康复教师的技术业务培训，指导残疾儿童家长开展家庭康复训练；负责残疾人辅助器具适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锡林浩特市锡林大街残联综合服务楼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毕力格图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8</w:t>
            </w:r>
            <w:r>
              <w:rPr>
                <w:rStyle w:val="14"/>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4"/>
                <w:rFonts w:hint="eastAsia" w:ascii="楷体_GB2312" w:eastAsia="楷体_GB2312" w:cs="楷体_GB2312"/>
                <w:sz w:val="28"/>
                <w:szCs w:val="28"/>
                <w:bdr w:val="none" w:color="auto" w:sz="0" w:space="0"/>
                <w:lang w:val="en-US"/>
              </w:rPr>
              <w:t>锡林郭勒盟残疾人联合会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6"/>
                <w:sz w:val="32"/>
                <w:szCs w:val="24"/>
                <w:bdr w:val="none" w:color="auto" w:sz="0" w:space="0"/>
                <w:lang w:val="en-US"/>
              </w:rPr>
              <w:t>25.27</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4"/>
                <w:sz w:val="32"/>
                <w:szCs w:val="32"/>
                <w:bdr w:val="none" w:color="auto" w:sz="0" w:space="0"/>
                <w:lang w:val="en-US"/>
              </w:rPr>
              <w:t>59.85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锡林郭勒盟残疾人康复中心.公益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2023年度我单位认真执行《事业单位登记管理暂行条例》及《事业单位登记管理暂行条例实施细则》，根据有关法律、法规和政策，严格按照核准登记的宗旨和业务范围开展相关活动。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本年度，我单位在锡盟残联的领导下，认真贯彻《事业单位登记管理暂行条例》和有关法律、政策，按照核准登记的业务范围开展活动，主要做了经下几方面的工作：1、2023年度总受训残疾儿童38名，（其中：智力障碍残疾儿童11名、孤独症儿童15名、听障儿童2名、脑瘫儿童8名、儿童福利院3名）。本年度康复训练任务为35名，享受监护人补贴的35名。2、2023年度参加家庭康复指导培训的各类残疾儿童家长共120人。3、2023年度，中心康复师先后深入到锡林浩特市朝夕儿童语言心理康复中心、西乌旗、蓝旗、白旗、多伦县共对81名残疾儿童进行了“一对一”式现场康复训练指导；对2名儿童进行了入户康复指导。中心为了进一步加强社区康复服务工作、使更多残疾人得到精准、规范的康复服务，组织业务骨干，深入锡林郭勒盟儿童福利院对6名残疾儿童开展了康复训练指导。2023年度，中心按照“合作协议”与北京市残疾人康复服务中心主动对接，从5月7日开始安排两期外派培训，组织中心7名业务骨干到北京市残疾人康复服务中心进行了每期21天的培训进修；为了提升中心康复人员业务能力，每周三组织康复管理人员及技术人员进行业务交流学习和“个案讨论”活动。为加强落实2022年9月3日签订的“北京市残疾人康复服务中心支援帮扶锡盟残疾人康复中心合作协议”，促进京蒙两地残疾人的康复工作交流，让锡盟地区更多的残疾儿童在家就能得到高质量的康复指导，根据合作协议约定内容，经盟残联批准，制定了与北京市残疾人康复服务中心合作工作方案，在7月、8月北京市残疾人康复服务中心专家先后两次来我盟指导了康复工作并深入到四个旗县市（区）进行了家庭指导和现场康复指导。2023度，中心领导先后到北京市残疾人康复服务中心、天津市残疾人康复服务中心、南京市区级残疾人康复服务中心、鄂尔多斯康复医院、西安和深圳市康复医院和康复中心考察了残疾人康复中心规范化建设运营情况及功能科室的建设情况。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4"/>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6"/>
          <w:rFonts w:hint="eastAsia" w:ascii="楷体_GB2312" w:eastAsia="楷体_GB2312" w:cs="楷体_GB2312"/>
          <w:sz w:val="28"/>
          <w:szCs w:val="28"/>
          <w:lang w:val="en-US"/>
        </w:rPr>
        <w:t>哈斯格根</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6"/>
          <w:rFonts w:hint="eastAsia" w:ascii="楷体_GB2312" w:eastAsia="楷体_GB2312" w:cs="楷体_GB2312"/>
          <w:sz w:val="28"/>
          <w:szCs w:val="28"/>
          <w:lang w:val="en-US"/>
        </w:rPr>
        <w:t xml:space="preserve">15164958089  </w:t>
      </w:r>
      <w:r>
        <w:rPr>
          <w:rFonts w:hint="eastAsia" w:ascii="楷体_GB2312" w:eastAsia="楷体_GB2312" w:cs="楷体_GB2312"/>
          <w:b/>
          <w:bCs/>
          <w:sz w:val="28"/>
          <w:szCs w:val="28"/>
          <w:lang w:eastAsia="zh-CN"/>
        </w:rPr>
        <w:t>报送日期：</w:t>
      </w:r>
      <w:r>
        <w:rPr>
          <w:rStyle w:val="16"/>
          <w:rFonts w:hint="eastAsia" w:ascii="楷体_GB2312" w:eastAsia="楷体_GB2312" w:cs="楷体_GB2312"/>
          <w:b/>
          <w:bCs/>
          <w:sz w:val="28"/>
          <w:szCs w:val="28"/>
          <w:lang w:val="en-US"/>
        </w:rPr>
        <w:t>2024年03月28日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黑体">
    <w:panose1 w:val="020B0500000000000000"/>
    <w:charset w:val="86"/>
    <w:family w:val="auto"/>
    <w:pitch w:val="fixed"/>
    <w:sig w:usb0="30000083" w:usb1="2BDF3C10" w:usb2="00000016" w:usb3="00000000" w:csb0="602E0107" w:csb1="00000000"/>
  </w:font>
  <w:font w:name="@宋体">
    <w:panose1 w:val="020B0500000000000000"/>
    <w:charset w:val="86"/>
    <w:family w:val="auto"/>
    <w:pitch w:val="variable"/>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楷体_GB2312">
    <w:panose1 w:val="020B0500000000000000"/>
    <w:charset w:val="86"/>
    <w:family w:val="auto"/>
    <w:pitch w:val="fixed"/>
    <w:sig w:usb0="30000083" w:usb1="2BDF3C10" w:usb2="00000016" w:usb3="00000000" w:csb0="602E0107" w:csb1="00000000"/>
  </w:font>
  <w:font w:name="Cambria Math">
    <w:altName w:val="DejaVu Math TeX Gyre"/>
    <w:panose1 w:val="02040503050406030204"/>
    <w:charset w:val="01"/>
    <w:family w:val="auto"/>
    <w:pitch w:val="variable"/>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EF9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9"/>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20"/>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font51"/>
    <w:basedOn w:val="13"/>
    <w:uiPriority w:val="0"/>
    <w:rPr>
      <w:rFonts w:hint="eastAsia" w:ascii="黑体" w:hAnsi="宋体" w:eastAsia="黑体" w:cs="黑体"/>
      <w:sz w:val="36"/>
      <w:szCs w:val="24"/>
    </w:rPr>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hps"/>
    <w:basedOn w:val="13"/>
    <w:uiPriority w:val="0"/>
  </w:style>
  <w:style w:type="character" w:customStyle="1" w:styleId="19">
    <w:name w:val="页脚 Char"/>
    <w:basedOn w:val="13"/>
    <w:link w:val="8"/>
    <w:locked/>
    <w:uiPriority w:val="0"/>
    <w:rPr>
      <w:rFonts w:hint="default" w:ascii="Times New Roman" w:hAnsi="Times New Roman" w:eastAsia="宋体" w:cs="Times New Roman"/>
      <w:sz w:val="18"/>
      <w:szCs w:val="18"/>
    </w:rPr>
  </w:style>
  <w:style w:type="character" w:customStyle="1" w:styleId="20">
    <w:name w:val="页眉 Char"/>
    <w:basedOn w:val="13"/>
    <w:link w:val="9"/>
    <w:locked/>
    <w:uiPriority w:val="0"/>
    <w:rPr>
      <w:rFonts w:hint="default"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2024-04-10T10:32:17Z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B9F25E986238F94E31FA1566EEFECAAD</vt:lpwstr>
  </property>
</Properties>
</file>