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4"/>
          <w:b/>
          <w:bCs/>
          <w:sz w:val="30"/>
          <w:szCs w:val="30"/>
          <w:lang w:val="en-US"/>
        </w:rPr>
        <w:t>1215250046076014XL</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4"/>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20"/>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7"/>
                <w:rFonts w:hint="eastAsia" w:ascii="楷体_GB2312" w:eastAsia="楷体_GB2312" w:cs="楷体_GB2312"/>
                <w:sz w:val="32"/>
                <w:szCs w:val="24"/>
                <w:bdr w:val="none" w:color="auto" w:sz="0" w:space="0"/>
                <w:lang w:val="en-US"/>
              </w:rPr>
              <w:t>锡林郭勒盟应急管理综合服务中心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20"/>
                <w:b/>
                <w:bCs/>
                <w:sz w:val="36"/>
                <w:szCs w:val="24"/>
                <w:bdr w:val="none" w:color="auto" w:sz="0" w:space="0"/>
              </w:rPr>
              <w:t>法</w:t>
            </w:r>
            <w:r>
              <w:rPr>
                <w:rStyle w:val="20"/>
                <w:b/>
                <w:bCs/>
                <w:spacing w:val="30"/>
                <w:sz w:val="36"/>
                <w:szCs w:val="24"/>
                <w:bdr w:val="none" w:color="auto" w:sz="0" w:space="0"/>
              </w:rPr>
              <w:t>定代表</w:t>
            </w:r>
            <w:r>
              <w:rPr>
                <w:rStyle w:val="20"/>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锡林郭勒盟应急管理综合服务中心（锡林郭勒盟森林草原火灾扑救服务中心）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为应急管理工作提供综合服务。自然灾害和森林草原火灾的信息收集、监测、预警和新技术开发应用，森林草原火灾值班值守、综合防控、火灾扑救及应急救援，上级拨付和社会捐赠应急物资的接受及储备管理配送，生产经营单位主要负责人、安全管理人员、特种作业人员培训、考务，干部队伍教育培训和应急救援队伍实战演练，应急救援、安置和恢复重建提供服务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锡市锡林大街127号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马艳俊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2182</w:t>
            </w:r>
            <w:r>
              <w:rPr>
                <w:rStyle w:val="19"/>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9"/>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9"/>
                <w:rFonts w:hint="eastAsia" w:ascii="楷体_GB2312" w:eastAsia="楷体_GB2312" w:cs="楷体_GB2312"/>
                <w:sz w:val="28"/>
                <w:szCs w:val="28"/>
                <w:bdr w:val="none" w:color="auto" w:sz="0" w:space="0"/>
                <w:lang w:val="en-US"/>
              </w:rPr>
              <w:t>锡林郭勒盟应急管理局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sz w:val="32"/>
                <w:szCs w:val="24"/>
                <w:bdr w:val="none" w:color="auto" w:sz="0" w:space="0"/>
                <w:lang w:val="en-US"/>
              </w:rPr>
              <w:t>1558</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9"/>
                <w:sz w:val="32"/>
                <w:szCs w:val="32"/>
                <w:bdr w:val="none" w:color="auto" w:sz="0" w:space="0"/>
                <w:lang w:val="en-US"/>
              </w:rPr>
              <w:t>1560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锡林郭勒盟应急管理综合服务中心.公益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7"/>
                <w:sz w:val="32"/>
                <w:szCs w:val="24"/>
                <w:bdr w:val="none" w:color="auto" w:sz="0" w:space="0"/>
                <w:lang w:val="en-US"/>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 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9"/>
                <w:rFonts w:hint="eastAsia" w:ascii="楷体_GB2312" w:eastAsia="楷体_GB2312" w:cs="楷体_GB2312"/>
                <w:sz w:val="28"/>
                <w:szCs w:val="24"/>
                <w:bdr w:val="none" w:color="auto" w:sz="0" w:space="0"/>
                <w:lang w:val="en-US"/>
              </w:rPr>
              <w:t xml:space="preserve">1、关于办公用房维修改造情况 盟应急管理综合服务中心现办公场所为原盟防火办办公楼。该办公楼是原锡林郭勒盟草原监理所1995年建成的，暖气管道为建设初期安装已使用28年，暖气管网、暖气片多处管道锈死或渗漏，每年冬季供暖期都会发生暖气跑水情况，温度达不到规定要求，无法正常办公，需更换。另外按照自治区应急管理厅关于安全生产“三项岗位”人员教考分离的要求，2022年我局在盟应急管理服务中心办公楼4楼会议室改建一处理论考试点，具体承担全盟安全生产“三项岗位”人员的理论考试。根据工作需要，现需要改造建设一处候考场地。经我中心申请，盟局领导积极协调上级拨款，年内完成各类手续和工程施工，已经正常使用。 2、防灭火工作开展情况 自春季防火期至秋季防火期，中心积极配合自治区、盟委行署、盟防灭火指挥部开展盟森林草原防灭火检查工作，共协助开展森林防火灭火工作督查检查28次，出动防火检查车辆22台次，车辆运行、维护及人员费用共41233.3元；开展防火宣传 2次，发放防火宣传资料共2000份；按照盟局统一安排完成全年的森林草原火灾值班值守工作。 3、物资储备管理及发放情况 认真做好物资管理，做到物资专人专管，出入库账目清晰，手续完备，确保应急物资即使发放到位，截止目前共发放防灭火装备275件套，发放防汛装备21081件套，中心现有防灭火物资1417件套，防汛抗旱物资4569件套。 4、持续加强制度建设 中心在原有制度的基础上，继续健全和完善各项规章制度，努力做到管理和工作有章可循，有章可依，确保工作程序的层次化和正规化，切实的将责任落实到人。 党建工作开展情况 （一）利用多种载体，持续打造学习型党组织。一是根据局机关委员会下发的学习计划，结合实际，通过集中学和自学相结合的形式，按月细化支部学习内容，抓实政治理论学习。把习近平新时代中国特色社会主义思想及习近平总书记在内蒙古考察时的重要讲话重要指示批示精神列为学习第一议题，把学习宣传贯彻党的二十大精神作为当前和今后一个时期的首要政治任务，扎实开展习近平新时代中国特色社会主义思想主题教育活动，推动党的创新理论往深里走、往实里走，引导党员干部牢固树立“四个意识”，坚定“四个自信”，自觉做到“两个维护”。组织全体党员结合工作实际，撰写心得体会，做好自学笔记。用好“学习强国”和“北疆先锋”等平台，积极探索“微学习”学习教育形式，充分利用党建实体阵地和网络阵地，旗帜鲜明地开展政治理论学习。2023年，通过“线上＋线下”的学习方式，共组织党员学习22次，集中专题研讨7次，学习党规党纪3篇。二是坚持原原本本学，融会贯通学，联系实际学，扎扎实实做，聚焦“九学”（即：示范引导领学、精心研读自学、专题辅导讲学、交流研讨促学、网络平台助学、开展上门送学、专题考试督学、结合实际完善学、融汇贯通系统学），积极推动中心党员学习习近平新时代中国特色社会主义思想掀起高潮。依托“读书班”“学习强国”“微信公众号”等平台，开展干部理论学习教育，全方位、立体化提升理论素养、业务水平。组织党组织书记讲党课活动2次，开展送书活动1次，理论测试1次，党员撰写心得体会80人次。 （二）加强组织建设，打造作风过硬的“先锋队”。一是持续下功夫加强支部规范化建设。严格落实“三会一课”“主题党日”、组织生活会及民主评议党员，采取“十个一”举措（开展一次集中治理党内政治生活庸俗化交易化问题专题研讨，讲一堂专题党课，重温一次入党誓词，开展一次谈心谈话，开展一次廉政警示教育，组织一次“奋进新征程建功新时代”主题党日活动，做一次廉政承诺，开展一次结对共建，进行一次廉政知识测试，开展一次“我为群众办实事”活动），推动“最强党支部”提质增效。二是持续下力气加强干部队伍建设。积极吸收先进分子向党组织靠拢。全年共召开支委会13次、党员大会4次，开展主题党日活动12次，预备党员转正2名，发展预备党员2名，为党组织注入了新鲜血液。目前，锡林郭勒盟应急管理综合服务中心共有党员21人（其中正式党员 11人，预备党员2人，离退休党员 8人）。2023年1月至12月共收缴党费5943.19元，按比例上缴上级党委党费5943.19元，留存党费0元。三是牢固树立为事业择人、凭业绩说话用人导向。2023年单位晋升或提拔干部2人，公开招考招录4人，调入年轻干部1人，晋升中级职称5人，干部队伍结构进一步优化，鼓励干部干事创业，形成正向激励担当作为的良好工作氛围。 （三）强化制度建设，持续推动作风建设高要求。一是严格落实相关制度，守好阵地，做好防范负面舆情的准备。按照《中国共产党党务公开条例（试行）》要求，制定党务公开目录，定期在支部公示栏公示党内事务，增强党组织工作透明度，使党员更好地了解、参与和监督党内事务。加强意识形态阵地建设，开展铸牢中华民族共同体意识宣传，加强重点岗位及网络安全管理，严格信息宣传审批。开展意识形态专题学习1次，网络安全教育1次，及时了解掌握党员思想动态，在重要时间节点做好意识形态宣传引导，定期做好分析研判，提高党员干部职工的政治敏锐性和政治鉴别力。二是加强对党员干部微信群、朋友圈、快手、抖音等社交媒介的管理，定期开展谈心谈话，组织党员干部学习宪法、党内法规、中央八项规定等文件及观看警示教育片，深刻警示广大党员干部严守政治纪律和政治规矩，牢记廉洁纪律，强化底线思维，自觉接受监督，持续深入推进党风廉政建设和反腐败斗争，教育引导全体党员干部知敬畏、存戒惧、守底线，切实做到防微杜渐、警钟长鸣， （四）加强宣传教育，坚持党建融入平常工作。党建引领各项工作发展，结合“民族政策宣传月”“安全生产月”活动方案要求，在包联小区、贝子庙广场、商场分别以“深入宣传贯彻党的民族理论政策、铸牢中华民族共同体意识”和“安全生产月”为主题，组织开展了民族政策宣传教育、安全生产法律法规和安全避险知识活动，切实把党的路线方针政策带到百姓身边。组织中心党支部党员与包联社区干部一起进行座谈，座谈围绕如何加强基层党建、提升党建引领社会治理、帮助社区和居民解决问题、有效推进“我为群众办实事”活动等工作走深走实。 （五）聚焦问题导向，持续推动主题教育走深走实。主题教育的目的是为了提高党员干部的思想政治素质，增强党性修养，推动工作落实。按照主题教育活动方案安排学习的基础上，认真制定中心学习计划，按部就班开展学习，有序组织支部党员开展研讨交流。按照第二批主题教育“回头看”问题整改清单，紧密结合工作实际，针对存在的问题和不足，深入查找原因，制定切实可行的整改措施，认真检视问题坚持真改实改，不断深化主题教育，确保取得实效。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9"/>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9"/>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7"/>
          <w:rFonts w:hint="eastAsia" w:ascii="楷体_GB2312" w:eastAsia="楷体_GB2312" w:cs="楷体_GB2312"/>
          <w:sz w:val="28"/>
          <w:szCs w:val="28"/>
          <w:lang w:val="en-US"/>
        </w:rPr>
        <w:t>毛玉婷</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7"/>
          <w:rFonts w:hint="eastAsia" w:ascii="楷体_GB2312" w:eastAsia="楷体_GB2312" w:cs="楷体_GB2312"/>
          <w:sz w:val="28"/>
          <w:szCs w:val="28"/>
          <w:lang w:val="en-US"/>
        </w:rPr>
        <w:t xml:space="preserve">13947993055  </w:t>
      </w:r>
      <w:r>
        <w:rPr>
          <w:rFonts w:hint="eastAsia" w:ascii="楷体_GB2312" w:eastAsia="楷体_GB2312" w:cs="楷体_GB2312"/>
          <w:b/>
          <w:bCs/>
          <w:sz w:val="28"/>
          <w:szCs w:val="28"/>
          <w:lang w:eastAsia="zh-CN"/>
        </w:rPr>
        <w:t>报送日期：</w:t>
      </w:r>
      <w:r>
        <w:rPr>
          <w:rStyle w:val="17"/>
          <w:rFonts w:hint="eastAsia" w:ascii="楷体_GB2312" w:eastAsia="楷体_GB2312" w:cs="楷体_GB2312"/>
          <w:b/>
          <w:bCs/>
          <w:sz w:val="28"/>
          <w:szCs w:val="28"/>
          <w:lang w:val="en-US"/>
        </w:rPr>
        <w:t>2024年03月26日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FFFF139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5"/>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6"/>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21"/>
    <w:basedOn w:val="13"/>
    <w:uiPriority w:val="0"/>
    <w:rPr>
      <w:rFonts w:hint="default" w:ascii="Times New Roman" w:hAnsi="Times New Roman" w:eastAsia="楷体_GB2312" w:cs="Times New Roman"/>
      <w:sz w:val="30"/>
      <w:szCs w:val="24"/>
    </w:rPr>
  </w:style>
  <w:style w:type="character" w:customStyle="1" w:styleId="15">
    <w:name w:val="页脚 Char"/>
    <w:basedOn w:val="13"/>
    <w:link w:val="8"/>
    <w:locked/>
    <w:uiPriority w:val="0"/>
    <w:rPr>
      <w:rFonts w:hint="default" w:ascii="Times New Roman" w:hAnsi="Times New Roman" w:eastAsia="宋体" w:cs="Times New Roman"/>
      <w:sz w:val="18"/>
      <w:szCs w:val="18"/>
    </w:rPr>
  </w:style>
  <w:style w:type="character" w:customStyle="1" w:styleId="16">
    <w:name w:val="页眉 Char"/>
    <w:basedOn w:val="13"/>
    <w:link w:val="9"/>
    <w:locked/>
    <w:uiPriority w:val="0"/>
    <w:rPr>
      <w:rFonts w:hint="default" w:ascii="Times New Roman" w:hAnsi="Times New Roman" w:eastAsia="宋体" w:cs="Times New Roman"/>
      <w:sz w:val="18"/>
      <w:szCs w:val="18"/>
    </w:rPr>
  </w:style>
  <w:style w:type="character" w:customStyle="1" w:styleId="17">
    <w:name w:val="font61"/>
    <w:basedOn w:val="13"/>
    <w:uiPriority w:val="0"/>
    <w:rPr>
      <w:rFonts w:hint="default" w:ascii="Times New Roman" w:hAnsi="Times New Roman" w:eastAsia="楷体_GB2312" w:cs="Times New Roman"/>
      <w:sz w:val="32"/>
      <w:szCs w:val="24"/>
    </w:rPr>
  </w:style>
  <w:style w:type="character" w:customStyle="1" w:styleId="18">
    <w:name w:val="hps"/>
    <w:basedOn w:val="13"/>
    <w:uiPriority w:val="0"/>
  </w:style>
  <w:style w:type="character" w:customStyle="1" w:styleId="19">
    <w:name w:val="font71"/>
    <w:basedOn w:val="13"/>
    <w:uiPriority w:val="0"/>
    <w:rPr>
      <w:rFonts w:hint="default" w:ascii="Times New Roman" w:hAnsi="Times New Roman" w:eastAsia="楷体_GB2312" w:cs="Times New Roman"/>
      <w:sz w:val="28"/>
      <w:szCs w:val="24"/>
    </w:rPr>
  </w:style>
  <w:style w:type="character" w:customStyle="1" w:styleId="20">
    <w:name w:val="font51"/>
    <w:basedOn w:val="13"/>
    <w:uiPriority w:val="0"/>
    <w:rPr>
      <w:rFonts w:hint="eastAsia" w:ascii="黑体" w:hAnsi="宋体" w:eastAsia="黑体" w:cs="黑体"/>
      <w:sz w:val="36"/>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45392.4375000016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2024-04-10T11:08:11Z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19343A44C2C129909B021666149031D5</vt:lpwstr>
  </property>
</Properties>
</file>