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12152500MB11564376</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锡林郭勒盟民族事务委员会综合保障中心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锡林郭勒盟民族事务委员会综合保障中心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为机关提供决策支持、技术支撑、运转保障服务。民族政策法律法规宣传培训、铸牢中华民族共同体意识、促进各民族交往交流交融，民族团结进步创建活动资料收集、整理、归档等辅助工作，民族工作领域舆情信息收集和监测、少数民族古籍的收集、整理、编辑、出版，蒙古语言文字规范化、标准化和信息化研究及数据信息资源采集、整理和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锡盟党政大楼1234室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闫文秀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10</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锡林郭勒盟民族事务委员会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锡林郭勒盟民族事务委员会综合保障中心.公益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2023年，我单位严格遵守国家有关法律法规和《条例》及其实施细则的规定，按照宗旨和业务范围开展相关活动，没有涉及变更登记的事项，没有违法违规等情况。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一、 全面推进中华民族共有精神家园建设。深入开展“一周两月”活动，组织各地各部门开展主题突出、内容丰富的各类活动，加强党的民族政策宣传教育。加大新闻宣传力度，在《中国民族》出版《铸牢中华民族共同体意识的锡林郭勒实践》专刊、在内蒙古日报刊发《铸牢中华民族共同体意识 全力创建全国民族团结进步示范盟》专题报道、委托内蒙古电视台制作反映我盟民族团结进步工作的《守望相助，同心筑梦》专题片、在锡林郭勒电视台和日报开设专栏专版，举办民族团结进步创建工作专场新闻发布会，全面展示我盟民族工作取得的成绩。组织开展全盟铸牢中华民族共同体意识知识竞赛、网络答题、主题征文等活动有效教育引导各族干部群众铸牢中华民族共同体意识。深入开展民族团结进步创建工作，认真落实《锡林郭勒盟民族团结进步创建发展规划》和《锡林郭勒盟创建全国民族团结进步示范盟实施方案》，根据新修订的测评指标，重新修订了《重点任务分解台账》，开展月调度和专项督查调研，压实了工作责任；推进“一廊一带四个基地”建设，召开“一廊一带”座谈会，印发工作方案，命名3个盟级民族团结进步教育基地，打造民族团结进步创建品牌；赴湖南省湘西、呼和浩特、赤峰、呼伦贝尔等地开展观摩学习，召开全盟民族团结进步创建工作互观互学现场会，总结交流创建工作经验做法；积极选树先进典型，苏尼特右旗被命名为第十一批全国民族团结进步示范区，多伦县、盟公安局等12个地区和部门被命名为第九批全区民族团结进步示范区示范单位，修订完善全盟民族团结进步创建测评指标，开展第七批全盟民族团结进步示范单位评选工作。 二、促进各民族交往交流交融。制定印发《锡林郭勒盟贯彻落实&lt;内蒙古自治区贯彻落实五部委关于实施各族青少年交流意见实施方案&gt;分工方案》，组织我盟青少年参加边疆民族地区各族青少年（北京）冬令营活动、民族体育主题交流（北京）夏令营活动及北京市第十八届民族健身操大赛，与盟教育局联合开展全盟第十五届中小学生艺术展演活动，通过参与各类活动，让各族青少年切实增强“五个认同”；制定印发《锡林郭勒盟实施各族群众互嵌式发展计划的工作方案》，抓好全盟各族群众互嵌式发展十三个试点工作，创新推进各民族交往交流交融；制定印发《关于旅游促进各民族交往交流交融计划的实施方案》，将中华民族共同体意识和民族团结进步价值理念纳入到旅游产品和精品线路中，通过承办全区旅游那达慕、举办“蒙古马精神杯”锡林郭勒蒙古马超级联赛，推出锡林郭勒草原红色之旅系列线路和精品旅游线路等形式，把旅游业打造成促进各民族交往交流交融的平台；推进中华民族优秀传统文化保护与发展，组织参加全区少数民族传统体育运动会，举办全盟第二届“喜塔尔”大赛，开展中华民族共同体体验馆锡盟轮展等工作，收到了良好效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史智敏</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18647912606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2024年04月01日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BC5CC0"/>
    <w:rsid w:val="E73F3D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hps"/>
    <w:basedOn w:val="13"/>
    <w:uiPriority w:val="0"/>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2</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2024-04-10T11:10:37Z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03D85B3CCD3FB3E02D031666A666319C</vt:lpwstr>
  </property>
</Properties>
</file>