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12152500MB1735113F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锡林郭勒盟委组织部干部人事档案中心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20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锡林郭勒盟委组织部干部人事档案中心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研究制定干部人事档案管理具体政策和措施办法；承担盟委管理干部，盟本级公务员及参照公务员法管理机关（单位）、党群系统事业单位人员干部人事档案管理，数字档案的制作维护，承担全盟干部人事档案员备案培训，指导和检查全盟干部人事档案管理业务。组织开展干部人事档案审核工作。指导、监督和检查全盟干部人事档案管理业务。宣传普及《干部人事档案工作条例》，为有关部门提供干部人事档案信息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锡林郭勒盟党政大楼11楼西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刘东伟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.0082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锡林郭勒盟委组织部干部人事档案中心.公益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2023年度我单位认真贯彻执行《事业单位登记管理暂行条例》及《事业单位登记管理暂行条例实施细则》，根据有关法律、法规和政策，严格按照核准登记的宗旨和业务范围开展活动。全面无变更。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（一）认真做好干部人事档案的日常管理工作。按照《新任盟委管理干部人事档案接收标准》，严把干部人事档案材料“入口关”和“出口关”，扎实做好档案材料日常的收集、整理、扫描、归档工作。 （二）完成档案上架和数字化工作。根据年初预算，完成在职干部档案，离退休干部档案数字化扫描任务。并将库存零散材料全部清库进行扫描。加强智能档案库房管理利用，将盟管干部、盟本级公务员及参照公务员法管理机关（单位）人员、党群系统事业单位人员干部人事档案重新排序上架。完成盟管离退休档案全面数字化。 （三）做好干部人事档案日常管理工作，包括档案的建立、接收、保管、转递和保密。同时，进一步强化服务理念，严格利用程序，为各相关单位提供查借阅服务，提高档案利用效能。 （四）加强档案工作人员业务培训。针对目前各旗县、盟直单位档案工作人员跟新较快，部分档案人员业务知识储备不足问题，开展档案专题培训班，扎实推进档案工作管理规范化，促进全盟档案工作水平提质增效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黄富丽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13684733952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78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hps"/>
    <w:basedOn w:val="13"/>
    <w:uiPriority w:val="0"/>
  </w:style>
  <w:style w:type="character" w:customStyle="1" w:styleId="20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2024-04-10T11:10:49Z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D0A9FE6CF7BB60B1390316663DFD51E7</vt:lpwstr>
  </property>
</Properties>
</file>