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12152500MB1345326J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国道207线锡林浩特至巴拉嘎尔高勒段公路二期工程建设项目管理办公室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国道207线锡林浩特至巴拉嘎尔高勒段公路二期工程建设项目管理办公室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负责对国道207线锡林浩特至巴拉嘎尔高勒段公路二期工程建设项目，进行质量、进度、费用、安全生产等工作进行全面的监督和管理。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锡林浩特市察哈尔大街76号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张富彬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5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非财政补助（自收自支）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国道207线锡林浩特至巴拉嘎尔高勒段公路二期工程建设项目管理办公室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2023年，我单位严格遵守国家有关法律法规和《事业单位登记管理暂行条例》及其实施细则的规定，按照宗旨和业务范围开展相关活动，没有涉及变更登记的事项，没有违法违规等情况。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国道207线锡林浩特至巴拉嘎尔高勒段公路二期工程建设项目管理办公室2017年正式成立以来，积极推进各项前期工作，用地预审意见由自治区国土资源厅批复；公路工程项目选址已由自治区住建厅批复；环境影响报告书已自治区由环保厅批复；水土保持方案已由自治区水利部批复；工程可行性研究报告已由自治区发改委批复；初步设计已由自治区交通厅批复；施工图设计已由自治区交通厅批复；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>董建忠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 xml:space="preserve">13904795412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20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2024年01月10日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9BF5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hps"/>
    <w:basedOn w:val="13"/>
    <w:uiPriority w:val="0"/>
  </w:style>
  <w:style w:type="character" w:customStyle="1" w:styleId="18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2024-04-10T11:10:59Z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29FA8CB92DB4522643031666FCB0A5DE</vt:lpwstr>
  </property>
</Properties>
</file>