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e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4"/>
          <w:b/>
          <w:bCs/>
          <w:sz w:val="30"/>
          <w:szCs w:val="30"/>
          <w:lang w:val="en-US"/>
        </w:rPr>
        <w:t>12152500MB1L036086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4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锡林郭勒盟土地储备中心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5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5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2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锡林郭勒盟土地储备中心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负责拟订全盟土地资源储备计划并组织实施。 承担盟本级土地储备及开发整理、土地资源储备信息平台应用维护及信息发布等工作。 承担占补平衡指标、增减挂钩结余指标盟内统筹和交易、土地二级市场交易监测工作；对旗县市土地储备工作进行业务指导。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锡林浩特市锡林西大街32号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杨真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6</w:t>
            </w: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锡林郭勒盟自然资源局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0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17"/>
                <w:sz w:val="32"/>
                <w:szCs w:val="32"/>
                <w:bdr w:val="none" w:color="auto" w:sz="0" w:space="0"/>
                <w:lang w:val="en-US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锡林郭勒盟土地储备中心.公益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8"/>
                <w:sz w:val="32"/>
                <w:szCs w:val="24"/>
                <w:bdr w:val="none" w:color="auto" w:sz="0" w:space="0"/>
                <w:lang w:val="en-US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2023年度我单位认真执行《事业单位登记管理暂行条例》及《事业单位登记管理条例实施细则》，根据有关法律、法规和政策，严格按照核准登记的宗旨和业务范围开展活动，全年无变更。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一、土地储备工作开展情况 对多伦县永泰房地产开发有限公司位于多伦大街北侧、工业园区西侧、德胜房地产东侧，总面积75206.9平方米的2宗国有建设用地进行了现场踏勘。 二、土地二级市场交易平台建设情况：一是按照《锡林郭勒盟关于全面深化土地综合整治促进高质量发展的实施方案》要求，2023年6月19日取得三级等保《网络安全等级保护测评证书》，锡盟大数据中心已开放长期互联网策略，已正式上线运行。二是研究制定了《锡林郭勒盟国有建设用地使用权公开转让、出租网上交易规则（试行）》和《国有建设用地使用权转让、出租合同》模板。三是完成各旗县市（区）二级市场业务管理系统人员帐号配置及CA锁配发工作。四是组织召开全盟土地二级市场交易管理平台操作培训，培训业务骨干70余人。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17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>杨真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8"/>
          <w:rFonts w:hint="eastAsia" w:ascii="楷体_GB2312" w:eastAsia="楷体_GB2312" w:cs="楷体_GB2312"/>
          <w:sz w:val="28"/>
          <w:szCs w:val="28"/>
          <w:lang w:val="en-US"/>
        </w:rPr>
        <w:t xml:space="preserve">13614795687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8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2024年03月07日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@黑体">
    <w:panose1 w:val="020B0500000000000000"/>
    <w:charset w:val="86"/>
    <w:family w:val="auto"/>
    <w:pitch w:val="fixed"/>
    <w:sig w:usb0="30000083" w:usb1="2BDF3C10" w:usb2="00000016" w:usb3="00000000" w:csb0="602E0107" w:csb1="00000000"/>
  </w:font>
  <w:font w:name="@宋体">
    <w:panose1 w:val="020B0500000000000000"/>
    <w:charset w:val="86"/>
    <w:family w:val="auto"/>
    <w:pitch w:val="variable"/>
    <w:sig w:usb0="30000083" w:usb1="2BDF3C10" w:usb2="00000016" w:usb3="00000000" w:csb0="602E0107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Cambria Math">
    <w:altName w:val="DejaVu Math TeX Gyre"/>
    <w:panose1 w:val="02040503050406030204"/>
    <w:charset w:val="01"/>
    <w:family w:val="auto"/>
    <w:pitch w:val="variable"/>
    <w:sig w:usb0="00000000" w:usb1="00000000" w:usb2="00000000" w:usb3="00000000" w:csb0="00000000" w:csb1="00000000"/>
  </w:font>
  <w:font w:name="@楷体_GB2312">
    <w:panose1 w:val="020B0500000000000000"/>
    <w:charset w:val="86"/>
    <w:family w:val="auto"/>
    <w:pitch w:val="fixed"/>
    <w:sig w:usb0="30000083" w:usb1="2BDF3C10" w:usb2="00000016" w:usb3="00000000" w:csb0="602E010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FDF4CE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20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9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5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6">
    <w:name w:val="hps"/>
    <w:basedOn w:val="13"/>
    <w:uiPriority w:val="0"/>
  </w:style>
  <w:style w:type="character" w:customStyle="1" w:styleId="17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  <w:style w:type="character" w:customStyle="1" w:styleId="18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19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20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45392.4375000016</TotalTime>
  <ScaleCrop>false</ScaleCrop>
  <LinksUpToDate>false</LinksUpToDate>
  <CharactersWithSpaces>658</CharactersWithSpaces>
  <Application>WPS Office_11.8.2.11653_F1E327BC-269C-435d-A152-05C5408002CA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1900-01-00T00:00:00Z</dcterms:created>
  <dc:creator>雨林木风</dc:creator>
  <cp:lastModifiedBy>inspur</cp:lastModifiedBy>
  <dcterms:modified xsi:type="dcterms:W3CDTF">2024-04-10T11:12:44Z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DD24E2FCD5D0D658AC031666EC77D406</vt:lpwstr>
  </property>
</Properties>
</file>