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5"/>
          <w:b/>
          <w:bCs/>
          <w:sz w:val="30"/>
          <w:szCs w:val="30"/>
          <w:lang w:val="en-US"/>
        </w:rPr>
        <w:t>12152500MB1K067019</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5"/>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20"/>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4"/>
                <w:rFonts w:hint="eastAsia" w:ascii="楷体_GB2312" w:eastAsia="楷体_GB2312" w:cs="楷体_GB2312"/>
                <w:sz w:val="32"/>
                <w:szCs w:val="24"/>
                <w:bdr w:val="none" w:color="auto" w:sz="0" w:space="0"/>
                <w:lang w:val="en-US"/>
              </w:rPr>
              <w:t>锡林郭勒盟自然资源局综合保障中心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20"/>
                <w:b/>
                <w:bCs/>
                <w:sz w:val="36"/>
                <w:szCs w:val="24"/>
                <w:bdr w:val="none" w:color="auto" w:sz="0" w:space="0"/>
              </w:rPr>
              <w:t>法</w:t>
            </w:r>
            <w:r>
              <w:rPr>
                <w:rStyle w:val="20"/>
                <w:b/>
                <w:bCs/>
                <w:spacing w:val="30"/>
                <w:sz w:val="36"/>
                <w:szCs w:val="24"/>
                <w:bdr w:val="none" w:color="auto" w:sz="0" w:space="0"/>
              </w:rPr>
              <w:t>定代表</w:t>
            </w:r>
            <w:r>
              <w:rPr>
                <w:rStyle w:val="20"/>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锡林郭勒盟自然资源局综合保障中心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为盟自然资源局提供综合保障服务。机关网络及终端运转保障和技术支撑、门户网站、新媒体平台、业务办公系统管理应用和运行维护、机关综合档案归档、数字化及利用；新闻宣传、史志年鉴编纂、舆情监测、“放管服”改革、固定资产管理、财务集中结算、文件机要交换、会务服务、后勤保障、信访事项办理等辅助性服务；自然资源卫星遥感数据分析、研判、整合等技术性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内蒙古自治区锡林郭勒盟锡林浩特市锡林西大街32号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刘彦越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38</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锡林郭勒盟自然资源局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sz w:val="32"/>
                <w:szCs w:val="24"/>
                <w:bdr w:val="none" w:color="auto" w:sz="0" w:space="0"/>
                <w:lang w:val="en-US"/>
              </w:rPr>
              <w:t>10.41</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10.35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锡林郭勒盟自然资源局综合保障中心·公益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4"/>
                <w:sz w:val="32"/>
                <w:szCs w:val="24"/>
                <w:bdr w:val="none" w:color="auto" w:sz="0" w:space="0"/>
                <w:lang w:val="en-US"/>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一、党建及党风廉政建设工作 一是加强政治建设。2023年综合保障中心党支部积极开展专题党课及集中学习会，共开展集中学习19次，党日活动16次，支部（支委）会议8次，党员会议3次。全面加强党的政治建设，坚决维护全党团结统一。 二是加强组织建设。党支部全面把握加强党的组织建设的总体要求，认真贯彻落实“双进双服务”活动，开展“五联五共”模式，为社区划定停车线，并深入社区慰问贫困户的同时宣传私搭乱建的危害，形成“党组织有责、在职党员有为、社区群众受益”的工作格局。 三是加强党风廉政建设。支部始终把党风廉洁建设工作摆在突出位置，将全面落实党建工作责任制作为重要的工作责任抓紧抓实。积极学习党内法规重点内容，并组织开展了相关主题党日活动。 四是扎实推进学习铸牢中华民族共同体意识。组织2次专题学习，深刻认识铸牢中华民族共同体意识。开展“进社区”主题党日活动，为小区居民发放宣传手册及礼品，深入太仆寺旗与村民开展座谈交流，推动铸牢中华民族共同体意识深入人心。 二、卫片执法工作及历年例行督察工作 （一）2022年卫片工作开展情况 一是为提高在卫片执法工作中解决问题的能力，将2023年卫片执法常用资料、政策汇编成册并下发。配合执法监督科组织开展自然资源执法业务暨卫片执法培训，为今后全盟更好的开展卫片工作奠定了坚实基础。 二是2023年度我盟土地、矿产卫片共下发图斑19186个。其中3190个图斑因降雪量大无法如期上报，已向自治区自然资源厅申请延期。对已填报图斑进行逐个审核，确保数据填报准确。 三是对达到要求的“大图斑”，逐一实地核查。2023年度我盟共有达到部级核查标准的“大图斑”316个，目前已全部完成实地核查，经核查我盟“大图斑”均未发现违法用地。 四是为做好遏制新增占耕建房宣传工作，对厅下发的疑似占耕图斑开展实地核查，确保及时发现及时处置。编印了宣传手册，通过发放手册、现场宣讲等方式向村民宣传农村乱占耕地建房“八不准”政策。截止12月，我盟未发现新增占耕建房问题。 （二）违法用地专项清理整治“回头看”工作 自违法用地“回头看”专项整治开展以来，我盟高度重视，积极推进整改，并将整改工作纳入全盟重点工作台账。截至目前，全盟973个问题中，已整改完成914个，总完成率93.94%，整改率位于全区前列。 （三）2022年耕地保护和矿产资源督察工作开展情况 2022年耕地保护督察共反馈我盟问题16个，现已全部完成整改并销号，完成率100%，是全区唯一一个完成本项整改工作的盟市。 （四）2023年自然资源例行督察工作 2023年自然资源例行督察工作共指出我盟在耕地保护和矿产资源管理方面存在各类问题共8个。截至目前，已完成整改并销号7个问题，整改完成率87.5%。 三、做好信访积案化解、政策宣传工作 （一）完善信访工作条例配套措施 新的《信访工作条例》实施以来，及时组织宣传学习，修订了锡盟自然资源局信访配套工作制度。并向旗县市（区）自然资源局印发了《锡林郭勒盟自然资源局信访处理流程的通知》和《信访工作手册》。 （二）开展《信访工作条例》落实年学习宣传贯彻落实工作 在锡盟自然资源局门户网站刊登《条例》，通过线上平台随时随地学习信访条例知识。同时进社区发放《信访工作手册》，引导群众有序信访。 （三）及时接受工单提升网上信访质效 实行AB岗专人负责网络信访平台，落实“接诉即办”工作机制。今年以来，收到12345平台工单5件，目前均已办结，接待群众来访4次，网上信访受理率、办结率和群众满意率达100%。 （四）强化领导包案，突出示范引领 及时将领导干部接访表在门户网站公布，10月9日对各旗县市（区）自然资源局进行实地督导检查，并及时对旗县信访工作进行指导。 四、信息化建设与网络安全工作 为进一步增强网络安全意识，我局于9月11日至17日组织开展了2023年网络安全宣传周系列活动。我中心对邮箱、门户网站、微信公众号等互联网渠道和平台开展网络安全隐患大排查，以强有力的举措扎实做好网络安全各项保障。 五、下一步工作安排 一是积极做好各类重点工作，严格卫片执法审核判定，做好历年例行督察发现问题整改工作，坚决遏制“非粮化”、“非农化”问题，坚决落实自然资源执法工作严起来、硬起来，保护各类自然资源，严守资源安全底线。 二是按盟信访工作源头治理方案的要求在全盟自然资源系统内有序开展信访问题源头治理三年攻坚行动专项工作，深入开展自然资源领域矛盾纠纷排查化解，努力把各类信访矛盾纠纷和风险隐患解决在基层、消除在萌芽状态。 三是严格落实《网络意识形态工作责任制实施细则》，加强对网上舆论的引导和管理。做好舆情引导任务，扎实有效地落实网络安全工作。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4"/>
          <w:rFonts w:hint="eastAsia" w:ascii="楷体_GB2312" w:eastAsia="楷体_GB2312" w:cs="楷体_GB2312"/>
          <w:sz w:val="28"/>
          <w:szCs w:val="28"/>
          <w:lang w:val="en-US"/>
        </w:rPr>
        <w:t>马诗瑶</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4"/>
          <w:rFonts w:hint="eastAsia" w:ascii="楷体_GB2312" w:eastAsia="楷体_GB2312" w:cs="楷体_GB2312"/>
          <w:sz w:val="28"/>
          <w:szCs w:val="28"/>
          <w:lang w:val="en-US"/>
        </w:rPr>
        <w:t xml:space="preserve">15647932038  </w:t>
      </w:r>
      <w:r>
        <w:rPr>
          <w:rFonts w:hint="eastAsia" w:ascii="楷体_GB2312" w:eastAsia="楷体_GB2312" w:cs="楷体_GB2312"/>
          <w:b/>
          <w:bCs/>
          <w:sz w:val="28"/>
          <w:szCs w:val="28"/>
          <w:lang w:eastAsia="zh-CN"/>
        </w:rPr>
        <w:t>报送日期：</w:t>
      </w:r>
      <w:r>
        <w:rPr>
          <w:rStyle w:val="14"/>
          <w:rFonts w:hint="eastAsia" w:ascii="楷体_GB2312" w:eastAsia="楷体_GB2312" w:cs="楷体_GB2312"/>
          <w:b/>
          <w:bCs/>
          <w:sz w:val="28"/>
          <w:szCs w:val="28"/>
          <w:lang w:val="en-US"/>
        </w:rPr>
        <w:t>2024年03月21日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FFC8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61"/>
    <w:basedOn w:val="13"/>
    <w:uiPriority w:val="0"/>
    <w:rPr>
      <w:rFonts w:hint="default" w:ascii="Times New Roman" w:hAnsi="Times New Roman" w:eastAsia="楷体_GB2312" w:cs="Times New Roman"/>
      <w:sz w:val="32"/>
      <w:szCs w:val="24"/>
    </w:rPr>
  </w:style>
  <w:style w:type="character" w:customStyle="1" w:styleId="15">
    <w:name w:val="font21"/>
    <w:basedOn w:val="13"/>
    <w:uiPriority w:val="0"/>
    <w:rPr>
      <w:rFonts w:hint="default" w:ascii="Times New Roman" w:hAnsi="Times New Roman" w:eastAsia="楷体_GB2312" w:cs="Times New Roman"/>
      <w:sz w:val="30"/>
      <w:szCs w:val="24"/>
    </w:rPr>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hps"/>
    <w:basedOn w:val="13"/>
    <w:uiPriority w:val="0"/>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font51"/>
    <w:basedOn w:val="13"/>
    <w:uiPriority w:val="0"/>
    <w:rPr>
      <w:rFonts w:hint="eastAsia" w:ascii="黑体" w:hAnsi="宋体" w:eastAsia="黑体" w:cs="黑体"/>
      <w:sz w:val="3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2024-04-10T11:33:52Z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B827372241D8C26BA0081666BCC35A77</vt:lpwstr>
  </property>
</Properties>
</file>