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12152500MB1K49891W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锡林郭勒盟国防动员综合服务中心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锡林郭勒盟国防动员综合服务中心（锡林郭勒盟人防工程质量技术服务中心）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为机关提供相关服务保障、宣传培训及人防工程质量和防护设备检测、评估、维护等技术性工作。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内蒙古自治区锡林郭勒盟锡林浩特市那达慕大街西段人防大楼10楼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王新泽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56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内蒙古自治区锡林郭勒盟国防动员办公室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.31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锡林郭勒盟国防动员综合服务中心（锡林郭勒盟人防工程质量技术服务中心）·公益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2023年度我单位认真执行《事业单位登记管理暂行条例》及《事业单位登记管理暂时条例实施细则》，根据有关法律、法规和政策，严格按照核准登记的宗旨和业务范围开展活动。全年无变更情况。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锡林郭勒盟国防动员综合服务中心（人防工程质量技术服务中心）严格按照事业单位章程、年度工作任务，扎实开展各项工作，为锡盟人防办机关提供指挥信息保障和工程质量技术服务。 一是认真履行“战时防空、平时服务、应急支援”使命任务，做好各类指挥信息保障工作； 二是认真执行指挥通信信息系统值班执勤工作，收集、处理、传递各类指挥信息，各类指挥设备运转良好，全年无事故发生； 三是对防空指挥通信警报系统、情报和指挥通信网络、空情警报预警系统及装备设备进行维护保障，按要求完成训练和执勤工作。； 四是在9·18准时鸣响人民防空、防灾警报信号，圆满完成城市防空警报试鸣任务，对全盟200台警报器进行维护保养； 五是按规模适当，设施配套，物资齐全的要求，全部建成“三室两库”建设，进一步完善了登记规范，定人定位、功能实用等要素，进一步配套设施建设，强化平战两用功能，建立维护管理机制，落实维护管理责任，对疏散基地地域、人防工作站的物资储备、生活服务进行有效保障； 六是严格人防工程建设程序和质量监督管理工作，严格规范质量监督工作，落实施工图审查、质量监督、工程检测和竣工验收，落实质量监督程序、事中事后监管责任，制度、资料齐全。进一步完善工程档案管工作，做到“一项目一档案”，工程审批资料齐全、档案要件规范。统计数据上报《人防工程建设情况统计表》及时准确； 七严格执行国家和自治区有关人防工程平战转换要求，制定了《既有人防工程平战功能转换两年行动方案（2021-2022年）》，开展了是既有人防工程全面调查摸底，建立人防工程平战转换档案库，组织专家对工程质量进行了评估评定； 八是参与自建人民防空工程建设、设施设备维护等辅助性技术性工作； 九是保障开展人民防空工程维护人员技术培训1次； 虽然较好完成了机关的保障任务，但距上级要求还有一些差距。表现在人员数量和业务水平不能满足新时期人民防空建设需求，下一步，将在提升人员业务素质上下功夫。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胡伟明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18247167934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79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2024-04-10T11:34:01Z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08D9B0290BEC54A2A908166670611111</vt:lpwstr>
  </property>
</Properties>
</file>