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15"/>
          <w:b/>
          <w:bCs/>
          <w:sz w:val="30"/>
          <w:szCs w:val="30"/>
          <w:lang w:val="en-US"/>
        </w:rPr>
        <w:t>12152500MB1K3987XR</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15"/>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20"/>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4"/>
                <w:rFonts w:hint="eastAsia" w:ascii="楷体_GB2312" w:eastAsia="楷体_GB2312" w:cs="楷体_GB2312"/>
                <w:sz w:val="32"/>
                <w:szCs w:val="24"/>
                <w:bdr w:val="none" w:color="auto" w:sz="0" w:space="0"/>
                <w:lang w:val="en-US"/>
              </w:rPr>
              <w:t>锡林郭勒盟科技创新服务中心</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20"/>
                <w:b/>
                <w:bCs/>
                <w:sz w:val="36"/>
                <w:szCs w:val="24"/>
                <w:bdr w:val="none" w:color="auto" w:sz="0" w:space="0"/>
              </w:rPr>
              <w:t>法</w:t>
            </w:r>
            <w:r>
              <w:rPr>
                <w:rStyle w:val="20"/>
                <w:b/>
                <w:bCs/>
                <w:spacing w:val="30"/>
                <w:sz w:val="36"/>
                <w:szCs w:val="24"/>
                <w:bdr w:val="none" w:color="auto" w:sz="0" w:space="0"/>
              </w:rPr>
              <w:t>定代表</w:t>
            </w:r>
            <w:r>
              <w:rPr>
                <w:rStyle w:val="20"/>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6"/>
                <w:rFonts w:hint="eastAsia" w:ascii="楷体_GB2312" w:eastAsia="楷体_GB2312" w:cs="楷体_GB2312"/>
                <w:sz w:val="28"/>
                <w:szCs w:val="28"/>
                <w:bdr w:val="none" w:color="auto" w:sz="0" w:space="0"/>
                <w:lang w:val="en-US"/>
              </w:rPr>
              <w:t>锡林郭勒盟科技创新服务中心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6"/>
                <w:rFonts w:hint="eastAsia" w:ascii="楷体_GB2312" w:eastAsia="楷体_GB2312" w:cs="楷体_GB2312"/>
                <w:sz w:val="28"/>
                <w:szCs w:val="28"/>
                <w:bdr w:val="none" w:color="auto" w:sz="0" w:space="0"/>
                <w:lang w:val="en-US"/>
              </w:rPr>
              <w:t>承担科技创新服务工作。为全盟科技创新、科技成果转移转化及评价、产学研融通发展、科技与经济深度融合提供综合服务。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6"/>
                <w:rFonts w:hint="eastAsia" w:ascii="楷体_GB2312" w:eastAsia="楷体_GB2312" w:cs="楷体_GB2312"/>
                <w:sz w:val="28"/>
                <w:szCs w:val="28"/>
                <w:bdr w:val="none" w:color="auto" w:sz="0" w:space="0"/>
                <w:lang w:val="en-US"/>
              </w:rPr>
              <w:t>锡林浩特市行署2号楼6楼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6"/>
                <w:rFonts w:hint="eastAsia" w:ascii="楷体_GB2312" w:eastAsia="楷体_GB2312" w:cs="楷体_GB2312"/>
                <w:sz w:val="28"/>
                <w:szCs w:val="28"/>
                <w:bdr w:val="none" w:color="auto" w:sz="0" w:space="0"/>
                <w:lang w:val="en-US"/>
              </w:rPr>
              <w:t>巴雅尔图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6"/>
                <w:rFonts w:hint="eastAsia" w:ascii="楷体_GB2312" w:eastAsia="楷体_GB2312" w:cs="楷体_GB2312"/>
                <w:sz w:val="28"/>
                <w:szCs w:val="28"/>
                <w:bdr w:val="none" w:color="auto" w:sz="0" w:space="0"/>
                <w:lang w:val="en-US"/>
              </w:rPr>
              <w:t>160</w:t>
            </w:r>
            <w:r>
              <w:rPr>
                <w:rStyle w:val="16"/>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6"/>
                <w:rFonts w:hint="eastAsia" w:ascii="楷体_GB2312" w:eastAsia="楷体_GB2312" w:cs="楷体_GB2312"/>
                <w:sz w:val="28"/>
                <w:szCs w:val="28"/>
                <w:bdr w:val="none" w:color="auto" w:sz="0" w:space="0"/>
                <w:lang w:val="en-US"/>
              </w:rPr>
              <w:t>财政补助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6"/>
                <w:rFonts w:hint="eastAsia" w:ascii="楷体_GB2312" w:eastAsia="楷体_GB2312" w:cs="楷体_GB2312"/>
                <w:sz w:val="28"/>
                <w:szCs w:val="28"/>
                <w:bdr w:val="none" w:color="auto" w:sz="0" w:space="0"/>
                <w:lang w:val="en-US"/>
              </w:rPr>
              <w:t>锡林郭勒盟科技局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4"/>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4"/>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4"/>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4"/>
                <w:sz w:val="32"/>
                <w:szCs w:val="24"/>
                <w:bdr w:val="none" w:color="auto" w:sz="0" w:space="0"/>
                <w:lang w:val="en-US"/>
              </w:rPr>
              <w:t>53.48</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6"/>
                <w:sz w:val="32"/>
                <w:szCs w:val="32"/>
                <w:bdr w:val="none" w:color="auto" w:sz="0" w:space="0"/>
                <w:lang w:val="en-US"/>
              </w:rPr>
              <w:t>52.64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锡林郭勒盟科技创新服务中心.公益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4"/>
                <w:sz w:val="32"/>
                <w:szCs w:val="24"/>
                <w:bdr w:val="none" w:color="auto" w:sz="0" w:space="0"/>
                <w:lang w:val="en-US"/>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6"/>
                <w:rFonts w:hint="eastAsia" w:ascii="楷体_GB2312" w:eastAsia="楷体_GB2312" w:cs="楷体_GB2312"/>
                <w:sz w:val="28"/>
                <w:szCs w:val="28"/>
                <w:bdr w:val="none" w:color="auto" w:sz="0" w:space="0"/>
                <w:lang w:val="en-US"/>
              </w:rPr>
              <w:t>2023年度我单位认真执行《事业单位登记管理暂行条例》及《事业单位登记管理暂行条例实施细则》，根据有关法律、法规和政策，严格按照核准登记的宗旨和业务范围开展活动，全年无变更。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6"/>
                <w:rFonts w:hint="eastAsia" w:ascii="楷体_GB2312" w:eastAsia="楷体_GB2312" w:cs="楷体_GB2312"/>
                <w:sz w:val="28"/>
                <w:szCs w:val="24"/>
                <w:bdr w:val="none" w:color="auto" w:sz="0" w:space="0"/>
                <w:lang w:val="en-US"/>
              </w:rPr>
              <w:t xml:space="preserve">2023年，锡盟科技创新服务中心聚焦科技自立自强，培育新产业新赛道，不断塑造新优势，把科技创新作为引领高质量发展的第一动力，以推动产学研协同创新和科技成果转移转化为导向，为高质量发展提供科技支撑，圆满完成各项工作任务。 一、多点发力，强化服务支撑，深耕科技成果转移转化。一是强化研究部署，主动靠前服务。针对不同技术领域、不同企业类型、不同业务内容的技术合同进行分析研究，加大技术合同的挖掘力度，强化日常指导，提升服务成效，建立长效机制，促进技术合同认定登记与技术交易后补助持续提升，有效激发全盟技术转移和技术交易的活力。截至2023年12月，累计共完成科技成果登记108项，技术合同登记145项，技术合同成交额达到1.88亿元，有效激发了全盟技术转移和技术交易的活力。二是发挥桥梁纽带作用，积极推动各市场主体、高等院校、科研院所、众创载体、中介服务机构互通互联，切实提高全盟科技成果转化效能。今年以来，先后与上海交通大学、吉林大学、内蒙古大学、内蒙古工业大学、内蒙古农业大学、西安科技大学等高校围绕循环经济、清洁能源、现代农牧业、新材料研发应用等领域开展对接交流，成果显著。三是充分发挥科技支撑引领作用，集中优势资源，梯次培育科学技术奖励项目。对全盟各领域近3年各类科技项目成果进行征集、整理，筛选出符合奖励办法的科研成果，推荐申报自治区科学技术奖励。今年，通过推荐，我盟有5项科技成果获得2022年度自治区科学技术奖励，其中锡林郭勒职业学院郭梁荣获青年科学技术创新奖1项，内蒙古贺斯格绿色产业进出口有限公司引进蒙古国专家杨·甘宝勒德荣获国际科学技术合作奖1项，京能（锡林郭勒）发电有限公司《燃煤电站烟气冷凝提水技术研发与应用》、陕西延长石油（集团）有限责任公司（内蒙古）分公司《银额盆地非常规油气勘探理论技术创新与储量发现》、内蒙古科泰隆达环保科技有限公司《高精度大通量中空纤维超滤膜》3项科研成果荣获科技进步二等奖，在年度获奖总数、等级上均创我盟历史新高。 二、围绕“五大任务”，深入推进“科技兴蒙”行动。一是锡林郭勒盟与上海交通大学内蒙古研究院签订科技合作协议，共同建立上海交通大学内蒙古研究院（锡林郭勒盟）循环经济协同创新中心，发挥上海交通大学智力资源优势，结合锡林郭勒盟资源优势和产业需求，重点围绕清洁能源、现代农牧业、生态治理修复、新材料研发应用等领域，在技术服务、成果转移转化、联合技术攻关、中试产业化基地建设、人才培养等方面深化合作，助力锡林郭勒盟经济高质量发展。目前对接成功5家企业，顺利签订了科技合作协议，推荐申报中央引导地方科技发展资金项目1项。二是促成上海交通大学、上海交通大学内蒙古研究院与锡林郭勒盟家鹏新型建材有限公司科技合作，实施“风机叶片绿色回收与高值化利用”项目。双方共建年处理2000吨废旧风机叶片回收高值再利用示范线，实现就地回收、科学处置、环保利用，目前正在调试设备阶段。三是促成上海交通大学与内蒙古居之源生物科技有限公司科技合作，实施“蚯蚓的规模化养殖及精深加工”项目，建设蚯蚓规模化养殖及精深加工科技示范线，年产生物有机肥（蚯蚓粪）2000吨和纳豆冻干粉4吨，预计销售收入可达1000万元。同时在锡林浩特市挂牌成立了上海交通大学农业与生物学院李银生教授团队“有机废弃物处理与蚯蚓养殖技术试验基地”。四是促成上海交通大学与内蒙古阿尔善牛业有限公司科技合作，实施“阿尔善风味土豆牛腩预制菜产业化关键技术开发与生产示范”项目，在原料预处理、真空低温炖煮工艺开发、风味调味料开发及产品风味调配、微生物指标控制、冷冻冷链保鲜品质控制及复热食用方式优化、品质无损检测等方面进行关键技术攻关，建立适合工业化规模生产的预制菜中试生产线，预计实现200万以上经济产值。五是促成吉林大学与太旗蒙肥沃土生物科技有限公司科技合作，挂牌设立了“吉林大学研究生实习基地”，借助吉林大学创新资源，挖掘农畜产业特色和优势，落地实施藜麦、金鸡菊精深加工产业化等项目。 三、积极培育、强化引领作用，加快培育企业创新主体。围绕锡林郭勒盟特色优势产业布局建设由政府引导支持、企业主导、与院校科研单位合作共建、具有独立法人资格的企业研发中心、新型研发机构，积极培育一批创新型创业孵化载体。新增自治区级技术转移服务机构2家、众创空间1家。锡林郭勒盟振达职业培训学校成功被认定为我盟第一家自治区级技术转移人才培养基地。新增备案企业科技特派员工作站7家，累计入站企业科特派员123人，累计服务企业511家，为企业提供技术解决方案70个，培训企业技术人员560人，与企业达成联合申报科技项目意向16个，组织开展科技创新培训14期。企业科技特派员深入各旗县市（区）开展了科技助力乡村振兴、医疗义诊、科普讲座、创新创业知识讲座、科技创新人才座谈会等活动、科技下乡10次、科技咨询参与公众达3.3万人。 四、广泛宣传，加大科技培训力度，提升企业科技创新能力。一是通过门户网站、微信公众号等各种线上平台，开展宣传推介，助力企业熟识相关政策、法规、制度，提高知晓度，确保各类市场主体应知尽知、应享尽享。2023年通过门户网站发布科技政策、科技信息230余条，通过微信公众号累计推送信息348条。二是加强科技政策宣传解读力度，强化科技创新业务培训。年内举办全盟科技政策及创新能力提升培训班1次、“蒙科聚”创新驱动平台建设及科技创新能力提升培训1次、初级技术经济人培训1次、“科技惠企”政策解读培训会1次，为全盟经济社会高质量发展提供科技助力。三是充分发挥科技创新政策在营造创新氛围、激发创新活力中的重要作用，根据企业需求，编制印发了最新《科技政策宣传手册》1万份，并及时下发到各旗县市区及有关企业，受到广泛好评。 五、多措并举，深化服务内涵，积极推进科技项目申报和验收工作。一是提升素质，认真负责，圆满完成了2023年度盟级科技项目的初审、统计、申报、管理等一系列工作，2023年共征集项目118 项，其中工业与能源领域5项、农牧业领域 46项、社会发展领域61、数字经济6项。二是积极组织实施，加大科技项目验收力度，高效完成了历年来已到期的科技项目验收工作，2023年共验收科技项目42项，其中自治区级科技项目7项，盟级科技计划项目35项。 六、全面建设“蒙科聚”创新驱动平台锡林郭勒分中心。依托自治区“蒙科聚”创新驱动平台，围绕锡林郭勒盟7大产业集群和17条重点产业链，以服务科技型企业、培育高新技术企业为目标，集成科技研发、资本运作、项目孵化、成果转化等功能，建设“蒙科聚”创新驱动平台锡林郭勒盟分中心，促进科技成果高效转化，推动科技与经济精密结合，为锡林郭勒盟走以生态优先、绿色发展为导向的高质量发展新路子，完成“五大任务”提供科技支撑。目前，蒙科聚”平台注册用户已达603人；入驻“蒙科聚”平台科技载体4家。通过线上平台发布技术需求3项、开展线上线下成果对接会4次；与高等院校举办科技对接活动26场；促成合作项目5项；达成初步合作意向9项。发布企业融资需求4项；发布中国银行中银企E贷产品2个；落实11家企业知识产权质押融资贷款10146万元；落实6家企业科技创新融资需求，融资金额达1865.6万元。 七、强化科技创新引领作用，推动科技、产业、金融深度融合。一是建立合作机制，以“知识产权质押”推动科技融资。积极与中国银行对接，发布中银企E贷产品2个。促成中国银行股份有限公司锡林浩特分行为锡林浩特市牧香源奶食品有限公司提供知识产权质押融资，落实贷款300万元。二是以“科创易贷”推动科技融资。与银行座谈对接，针对优质科技型小微企业创新推出“科创易贷”科技金融产品，有效解决了小微企业“融资难、融资慢”问题。目前，促成西乌珠穆沁旗支行为我盟科技型中小企业—内蒙古阿尔山牛业有限公司发放“科创易贷”普惠金融贷款900万元。三是征集融资需求，以“科技创新再贷款”推动科技金融。与人民银行锡盟中心支行建立了联合工作机制，强化部门之间的协同联动，搭建融资合作平台，全面筑牢银行和企业间信息互通、优势互补、共同发展的良好合作关系。截至目前，征集13家高新技术企业、科技型中企业融资需求10350万元，已落实6家企业1865.6万元的贷款。 八、凝心聚力，强化交流合作，促进人才队伍建设。一是以科技合作引人才、以成果转化引人才，促进产业需求与高端人才深度对接。围绕重点产业和科技优先发展领域，大力引进科技领军人才、高素质管理人才和创业创新团队，加强与企业家的对接联系，借助外智外力，促进最新科技成果转化落地。在制造业领域、生物领域，引进上海交通大学中国工程院丁文江院士高端人才团队、吉林大学首席科学家、俄罗斯自然科学院外籍院士李平团队的7名专家。围绕牛羊副产品精深加工和微生物领域，引进上海交通大学科研专家2名专家，形成了技术和人才双向流动的深化合作“新模式”。二是不断强化技术转移人才队伍建设。本年度中心有4人参加了全区技术合同认定登记员业务培训班，并获得了自治区技术合同认定登记员培训合格证书，可持证上岗开展技术合同认定登记工作，为我盟技术合同认定登记工作的进一步提升奠定了坚实的人才基础。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6"/>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6"/>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6"/>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4"/>
          <w:rFonts w:hint="eastAsia" w:ascii="楷体_GB2312" w:eastAsia="楷体_GB2312" w:cs="楷体_GB2312"/>
          <w:sz w:val="28"/>
          <w:szCs w:val="28"/>
          <w:lang w:val="en-US"/>
        </w:rPr>
        <w:t>徐萌</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4"/>
          <w:rFonts w:hint="eastAsia" w:ascii="楷体_GB2312" w:eastAsia="楷体_GB2312" w:cs="楷体_GB2312"/>
          <w:sz w:val="28"/>
          <w:szCs w:val="28"/>
          <w:lang w:val="en-US"/>
        </w:rPr>
        <w:t xml:space="preserve">18504792576  </w:t>
      </w:r>
      <w:r>
        <w:rPr>
          <w:rFonts w:hint="eastAsia" w:ascii="楷体_GB2312" w:eastAsia="楷体_GB2312" w:cs="楷体_GB2312"/>
          <w:b/>
          <w:bCs/>
          <w:sz w:val="28"/>
          <w:szCs w:val="28"/>
          <w:lang w:eastAsia="zh-CN"/>
        </w:rPr>
        <w:t>报送日期：</w:t>
      </w:r>
      <w:r>
        <w:rPr>
          <w:rStyle w:val="14"/>
          <w:rFonts w:hint="eastAsia" w:ascii="楷体_GB2312" w:eastAsia="楷体_GB2312" w:cs="楷体_GB2312"/>
          <w:b/>
          <w:bCs/>
          <w:sz w:val="28"/>
          <w:szCs w:val="28"/>
          <w:lang w:val="en-US"/>
        </w:rPr>
        <w:t>2024年02月18日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黑体">
    <w:panose1 w:val="020B0500000000000000"/>
    <w:charset w:val="86"/>
    <w:family w:val="auto"/>
    <w:pitch w:val="fixed"/>
    <w:sig w:usb0="30000083" w:usb1="2BDF3C10" w:usb2="00000016" w:usb3="00000000" w:csb0="602E0107" w:csb1="00000000"/>
  </w:font>
  <w:font w:name="@楷体_GB2312">
    <w:panose1 w:val="020B0500000000000000"/>
    <w:charset w:val="86"/>
    <w:family w:val="auto"/>
    <w:pitch w:val="fixed"/>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宋体">
    <w:panose1 w:val="020B0500000000000000"/>
    <w:charset w:val="86"/>
    <w:family w:val="auto"/>
    <w:pitch w:val="variable"/>
    <w:sig w:usb0="30000083" w:usb1="2BDF3C10" w:usb2="00000016" w:usb3="00000000" w:csb0="602E0107" w:csb1="00000000"/>
  </w:font>
  <w:font w:name="Cambria Math">
    <w:altName w:val="DejaVu Math TeX Gyre"/>
    <w:panose1 w:val="02040503050406030204"/>
    <w:charset w:val="01"/>
    <w:family w:val="auto"/>
    <w:pitch w:val="variable"/>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FF34D45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8"/>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7"/>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font61"/>
    <w:basedOn w:val="13"/>
    <w:uiPriority w:val="0"/>
    <w:rPr>
      <w:rFonts w:hint="default" w:ascii="Times New Roman" w:hAnsi="Times New Roman" w:eastAsia="楷体_GB2312" w:cs="Times New Roman"/>
      <w:sz w:val="32"/>
      <w:szCs w:val="24"/>
    </w:rPr>
  </w:style>
  <w:style w:type="character" w:customStyle="1" w:styleId="15">
    <w:name w:val="font21"/>
    <w:basedOn w:val="13"/>
    <w:uiPriority w:val="0"/>
    <w:rPr>
      <w:rFonts w:hint="default" w:ascii="Times New Roman" w:hAnsi="Times New Roman" w:eastAsia="楷体_GB2312" w:cs="Times New Roman"/>
      <w:sz w:val="30"/>
      <w:szCs w:val="24"/>
    </w:rPr>
  </w:style>
  <w:style w:type="character" w:customStyle="1" w:styleId="16">
    <w:name w:val="font71"/>
    <w:basedOn w:val="13"/>
    <w:uiPriority w:val="0"/>
    <w:rPr>
      <w:rFonts w:hint="default" w:ascii="Times New Roman" w:hAnsi="Times New Roman" w:eastAsia="楷体_GB2312" w:cs="Times New Roman"/>
      <w:sz w:val="28"/>
      <w:szCs w:val="24"/>
    </w:rPr>
  </w:style>
  <w:style w:type="character" w:customStyle="1" w:styleId="17">
    <w:name w:val="页眉 Char"/>
    <w:basedOn w:val="13"/>
    <w:link w:val="9"/>
    <w:locked/>
    <w:uiPriority w:val="0"/>
    <w:rPr>
      <w:rFonts w:hint="default" w:ascii="Times New Roman" w:hAnsi="Times New Roman" w:eastAsia="宋体" w:cs="Times New Roman"/>
      <w:sz w:val="18"/>
      <w:szCs w:val="18"/>
    </w:rPr>
  </w:style>
  <w:style w:type="character" w:customStyle="1" w:styleId="18">
    <w:name w:val="页脚 Char"/>
    <w:basedOn w:val="13"/>
    <w:link w:val="8"/>
    <w:locked/>
    <w:uiPriority w:val="0"/>
    <w:rPr>
      <w:rFonts w:hint="default" w:ascii="Times New Roman" w:hAnsi="Times New Roman" w:eastAsia="宋体" w:cs="Times New Roman"/>
      <w:sz w:val="18"/>
      <w:szCs w:val="18"/>
    </w:rPr>
  </w:style>
  <w:style w:type="character" w:customStyle="1" w:styleId="19">
    <w:name w:val="hps"/>
    <w:basedOn w:val="13"/>
    <w:uiPriority w:val="0"/>
  </w:style>
  <w:style w:type="character" w:customStyle="1" w:styleId="20">
    <w:name w:val="font51"/>
    <w:basedOn w:val="13"/>
    <w:uiPriority w:val="0"/>
    <w:rPr>
      <w:rFonts w:hint="eastAsia" w:ascii="黑体" w:hAnsi="宋体" w:eastAsia="黑体" w:cs="黑体"/>
      <w:sz w:val="36"/>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45392.4687500016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2024-04-10T11:35:18Z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5AF32D22D6284D0AF6081666FD09B040</vt:lpwstr>
  </property>
</Properties>
</file>