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12152500MB1J729788</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乌拉盖管理区气象灾害防御中心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乌拉盖管理区气象灾害防御中心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承担气象灾害防御业务体系建设任务。重大气象灾害应急服务、灾情信息收集上报、气象灾害风险普查、风险评估和气候可行性论证、专业专项气象服务、雷电灾害防御技术服务、人工影响天气业务、气象科普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内蒙古锡盟乌拉盖巴音胡硕镇巴音高勒北街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牛佳乐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50</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内蒙古自治区乌拉盖气象局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50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乌拉盖管理区气象灾害防御中心·公益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2023年，我单位认真执行《事业单位登记管理暂行条例》及《事业单位登记管理暂行条例实施细则》，根据有关法律、法规和政策，严格按照核准登记的宗旨和业务范围开展活动。本年度无登记变更。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是协助气象局依法履行行政社会监管职能，随时开展探测环境保护和密切监督社会违法播放气象信息现象，不定期开展防雷防静电安全生产大检查并及时向地方安委会上报检查结果。年内对管理区境内15家易燃易爆场所重点监管企业进行4次全覆盖“双随机”检查。二是持续开展疫情常态化防控工作，完善相关制度，做好本单位的核验核查工作，贯彻各级疫情防控精神和要求。三是充分利用3.23世界气象日、5.12防灾减灾日、安全生产月及2023年全国科普日，通过悬挂条幅、在管理区中心地段电子显示屏滚动播放宣传片、管理区各机关单位集中展示宣传图片、乌拉盖气象微信公众号制作发布宣传文章等多渠道积极开展气象科普宣传活动。共计发放气象灾害防御知识和防灾避险常识等宣传材料共计2000余份。并通过电视、短信等渠道向广大群众宣传防灾减灾知识，使民众了解应对气候变化和气象自然灾害等相关知识。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牛佳乐</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17604846608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2024年04月03日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79FA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hps"/>
    <w:basedOn w:val="13"/>
    <w:uiPriority w:val="0"/>
  </w:style>
  <w:style w:type="character" w:customStyle="1" w:styleId="17">
    <w:name w:val="font51"/>
    <w:basedOn w:val="13"/>
    <w:uiPriority w:val="0"/>
    <w:rPr>
      <w:rFonts w:hint="eastAsia" w:ascii="黑体" w:hAnsi="宋体" w:eastAsia="黑体" w:cs="黑体"/>
      <w:sz w:val="36"/>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2024-04-10T11:35:23Z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24C3EF8F646386B1FB0816664F514A7B</vt:lpwstr>
  </property>
</Properties>
</file>