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20"/>
          <w:b/>
          <w:bCs/>
          <w:sz w:val="30"/>
          <w:szCs w:val="30"/>
          <w:lang w:val="en-US"/>
        </w:rPr>
        <w:t>12152500MB1J70331X</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20"/>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5"/>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7"/>
                <w:rFonts w:hint="eastAsia" w:ascii="楷体_GB2312" w:eastAsia="楷体_GB2312" w:cs="楷体_GB2312"/>
                <w:sz w:val="32"/>
                <w:szCs w:val="24"/>
                <w:bdr w:val="none" w:color="auto" w:sz="0" w:space="0"/>
                <w:lang w:val="en-US"/>
              </w:rPr>
              <w:t>锡林郭勒盟媒体深度融合发展中心</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5"/>
                <w:b/>
                <w:bCs/>
                <w:sz w:val="36"/>
                <w:szCs w:val="24"/>
                <w:bdr w:val="none" w:color="auto" w:sz="0" w:space="0"/>
              </w:rPr>
              <w:t>法</w:t>
            </w:r>
            <w:r>
              <w:rPr>
                <w:rStyle w:val="15"/>
                <w:b/>
                <w:bCs/>
                <w:spacing w:val="30"/>
                <w:sz w:val="36"/>
                <w:szCs w:val="24"/>
                <w:bdr w:val="none" w:color="auto" w:sz="0" w:space="0"/>
              </w:rPr>
              <w:t>定代表</w:t>
            </w:r>
            <w:r>
              <w:rPr>
                <w:rStyle w:val="15"/>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8"/>
                <w:bdr w:val="none" w:color="auto" w:sz="0" w:space="0"/>
                <w:lang w:val="en-US"/>
              </w:rPr>
              <w:t>锡林郭勒盟媒体深度融合发展中心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8"/>
                <w:bdr w:val="none" w:color="auto" w:sz="0" w:space="0"/>
                <w:lang w:val="en-US"/>
              </w:rPr>
              <w:t>为盟旗两级媒体深度融合发展提供综合保障服务。为盟旗两级媒体深度融合、用好信息技术提供新技术使用和推广，为盟旗两级媒体扩大优质内容产能、创新内容表现、建立“新闻十政务服务商务”运营模式等提供指导，媒体新闻阅评、传播效果评估，全媒体传播体系构建、全媒体人才培养培训，盟旗两级通讯站新闻业务指导，融媒体作品推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6"/>
                <w:rFonts w:hint="eastAsia" w:ascii="楷体_GB2312" w:eastAsia="楷体_GB2312" w:cs="楷体_GB2312"/>
                <w:sz w:val="28"/>
                <w:szCs w:val="28"/>
                <w:bdr w:val="none" w:color="auto" w:sz="0" w:space="0"/>
                <w:lang w:val="en-US"/>
              </w:rPr>
              <w:t>内蒙古自治区锡林郭勒盟锡林浩特市盟党政办公楼1026室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6"/>
                <w:rFonts w:hint="eastAsia" w:ascii="楷体_GB2312" w:eastAsia="楷体_GB2312" w:cs="楷体_GB2312"/>
                <w:sz w:val="28"/>
                <w:szCs w:val="28"/>
                <w:bdr w:val="none" w:color="auto" w:sz="0" w:space="0"/>
                <w:lang w:val="en-US"/>
              </w:rPr>
              <w:t>马鼎文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8"/>
                <w:bdr w:val="none" w:color="auto" w:sz="0" w:space="0"/>
                <w:lang w:val="en-US"/>
              </w:rPr>
              <w:t>3</w:t>
            </w:r>
            <w:r>
              <w:rPr>
                <w:rStyle w:val="16"/>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6"/>
                <w:rFonts w:hint="eastAsia" w:ascii="楷体_GB2312" w:eastAsia="楷体_GB2312" w:cs="楷体_GB2312"/>
                <w:sz w:val="28"/>
                <w:szCs w:val="28"/>
                <w:bdr w:val="none" w:color="auto" w:sz="0" w:space="0"/>
                <w:lang w:val="en-US"/>
              </w:rPr>
              <w:t>财政补助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6"/>
                <w:rFonts w:hint="eastAsia" w:ascii="楷体_GB2312" w:eastAsia="楷体_GB2312" w:cs="楷体_GB2312"/>
                <w:sz w:val="28"/>
                <w:szCs w:val="28"/>
                <w:bdr w:val="none" w:color="auto" w:sz="0" w:space="0"/>
                <w:lang w:val="en-US"/>
              </w:rPr>
              <w:t>中共内蒙古自治区锡林郭勒盟委员会宣传部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7"/>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7"/>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7"/>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7"/>
                <w:sz w:val="32"/>
                <w:szCs w:val="24"/>
                <w:bdr w:val="none" w:color="auto" w:sz="0" w:space="0"/>
                <w:lang w:val="en-US"/>
              </w:rPr>
              <w:t>.37</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6"/>
                <w:sz w:val="32"/>
                <w:szCs w:val="32"/>
                <w:bdr w:val="none" w:color="auto" w:sz="0" w:space="0"/>
                <w:lang w:val="en-US"/>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锡林郭勒盟媒体深度融合发展中心·公益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7"/>
                <w:sz w:val="32"/>
                <w:szCs w:val="24"/>
                <w:bdr w:val="none" w:color="auto" w:sz="0" w:space="0"/>
                <w:lang w:val="en-US"/>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8"/>
                <w:bdr w:val="none" w:color="auto" w:sz="0" w:space="0"/>
                <w:lang w:val="en-US"/>
              </w:rPr>
              <w:t>2023年度，我单位认真执行《事业单位登记管理暂行条例》和《事业单位登记管理暂行条例实施细则》，根据有关法律、法规、政策，严格按照核准登记的宗旨和业务范围开展活动。我中心2023全年无变更。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6"/>
                <w:rFonts w:hint="eastAsia" w:ascii="楷体_GB2312" w:eastAsia="楷体_GB2312" w:cs="楷体_GB2312"/>
                <w:sz w:val="28"/>
                <w:szCs w:val="24"/>
                <w:bdr w:val="none" w:color="auto" w:sz="0" w:space="0"/>
                <w:lang w:val="en-US"/>
              </w:rPr>
              <w:t xml:space="preserve">2023年盟媒体深度融合发展中心按照盟委宣传部安排部署，推动我盟媒体融合发展，加强全媒体人才队伍建设，助力打造更加完备的全媒体传播体系，不断提高我盟主流媒体的公信力、传播力、引导力、影响力 一、“学习强国”供稿工作方面 盟媒体深度融合发展中心始终坚持正确的舆论导向，积极谋划，主动作为，多措并举推动“学习强国”供稿工作提质增效。进一步提升“学习强国”学习平台上稿数量，1月初，盟媒体深度融合发展中心联合盟工会举办2022年度全盟干部职工“学习强国”优秀作品大奖赛，共表彰奖励50个优秀作品，8个优秀系列融媒体产品以及15名优秀通讯员；2023年，我中心审核、编辑、推送的918余篇（条）作品被“学习强国”内蒙古平台采用，106篇（条）作品被“学习强国”全国主平台采用。内蒙古平台上稿数量与去年持平，全国主平台上稿数量增加近116%。 二、媒体从业人员业务技能提升培训方面 2023年，盟媒体深度融合发展中心加强全媒体人才队伍建设，持续加强全盟媒体从业人员政治素养和业务素质双提升。组织召开全盟媒体负责同志座谈会，安排部署全年的宣传任务；组织举办专题线上培训班。 三、推动媒体深度融合发展方面 为对各旗县市（区）融媒体中心在自治区和盟直主要媒体上稿情况、“草原云”客户端和抖音、快手、今日头条账号等新媒体平台运行情况进行统计，每月向旗县市（区）党委书记、宣传部部长及相关媒体发送。目前，已发送11期；每周统计我盟各媒体在《内蒙古新闻联播》《学习强国》《内蒙古日报》等自治区媒体以及《内蒙古新闻联播》《锡林郭勒日报》等盟直媒体上稿情况，在相关工作群里进行周统计周通报，全年推送40余期；按照《媒体深度融合发展新闻作品激励机制（暂行）》，对中央级媒体、自治区级媒体、盟直媒体、各旗县市（区）融媒体中心记者传统媒体、新媒体蒙汉文上稿情况进行上稿合计、复核和奖励明细等工作,目前已完成2023年前三季度的上稿情况复核、计算奖励等工作。 四、下一步工作计划 （一）加强全媒体人才队伍建设，深入开展“三项学习教育”活动计划邀请新华社、内蒙古日报等上级媒体资深新闻人士、短视频运营人士等，针对性的对我盟编辑、记者等一线人员进行专业培训。其中，课程内容中包含“铸牢中华民族共同体意识”方面的内容，带领盟旗两级媒体业务骨干人员赴媒体融合发展先进地区考察学习媒体深度融合发展先进经验。 （二）强组织策划，用好“学习强国平台平台，推出“学习强国”精品作品，提高全国主平台和内蒙古平台上稿数量，积极沟通对接各一级通讯站，联合创作推出一批内容上有特色、制作上有创新的、反映党史、文化、自然、人文等内容的优质音视频作品，提高全国主平台上稿率。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6"/>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6"/>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7"/>
          <w:rFonts w:hint="eastAsia" w:ascii="楷体_GB2312" w:eastAsia="楷体_GB2312" w:cs="楷体_GB2312"/>
          <w:sz w:val="28"/>
          <w:szCs w:val="28"/>
          <w:lang w:val="en-US"/>
        </w:rPr>
        <w:t>康滢</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7"/>
          <w:rFonts w:hint="eastAsia" w:ascii="楷体_GB2312" w:eastAsia="楷体_GB2312" w:cs="楷体_GB2312"/>
          <w:sz w:val="28"/>
          <w:szCs w:val="28"/>
          <w:lang w:val="en-US"/>
        </w:rPr>
        <w:t xml:space="preserve">15754790003  </w:t>
      </w:r>
      <w:r>
        <w:rPr>
          <w:rFonts w:hint="eastAsia" w:ascii="楷体_GB2312" w:eastAsia="楷体_GB2312" w:cs="楷体_GB2312"/>
          <w:b/>
          <w:bCs/>
          <w:sz w:val="28"/>
          <w:szCs w:val="28"/>
          <w:lang w:eastAsia="zh-CN"/>
        </w:rPr>
        <w:t>报送日期：</w:t>
      </w:r>
      <w:r>
        <w:rPr>
          <w:rStyle w:val="17"/>
          <w:rFonts w:hint="eastAsia" w:ascii="楷体_GB2312" w:eastAsia="楷体_GB2312" w:cs="楷体_GB2312"/>
          <w:b/>
          <w:bCs/>
          <w:sz w:val="28"/>
          <w:szCs w:val="28"/>
          <w:lang w:val="en-US"/>
        </w:rPr>
        <w:t>2024年03月29日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宋体">
    <w:panose1 w:val="020B0500000000000000"/>
    <w:charset w:val="86"/>
    <w:family w:val="auto"/>
    <w:pitch w:val="variable"/>
    <w:sig w:usb0="30000083" w:usb1="2BDF3C10" w:usb2="00000016" w:usb3="00000000" w:csb0="602E0107" w:csb1="00000000"/>
  </w:font>
  <w:font w:name="@黑体">
    <w:panose1 w:val="020B0500000000000000"/>
    <w:charset w:val="86"/>
    <w:family w:val="auto"/>
    <w:pitch w:val="fixed"/>
    <w:sig w:usb0="30000083" w:usb1="2BDF3C10" w:usb2="00000016" w:usb3="00000000" w:csb0="602E0107" w:csb1="00000000"/>
  </w:font>
  <w:font w:name="@楷体_GB2312">
    <w:panose1 w:val="020B0500000000000000"/>
    <w:charset w:val="86"/>
    <w:family w:val="auto"/>
    <w:pitch w:val="fixed"/>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Cambria Math">
    <w:altName w:val="DejaVu Math TeX Gyre"/>
    <w:panose1 w:val="02040503050406030204"/>
    <w:charset w:val="01"/>
    <w:family w:val="auto"/>
    <w:pitch w:val="variable"/>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FB3EA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4"/>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8"/>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页脚 Char"/>
    <w:basedOn w:val="13"/>
    <w:link w:val="8"/>
    <w:locked/>
    <w:uiPriority w:val="0"/>
    <w:rPr>
      <w:rFonts w:hint="default" w:ascii="Times New Roman" w:hAnsi="Times New Roman" w:eastAsia="宋体" w:cs="Times New Roman"/>
      <w:sz w:val="18"/>
      <w:szCs w:val="18"/>
    </w:rPr>
  </w:style>
  <w:style w:type="character" w:customStyle="1" w:styleId="15">
    <w:name w:val="font51"/>
    <w:basedOn w:val="13"/>
    <w:uiPriority w:val="0"/>
    <w:rPr>
      <w:rFonts w:hint="eastAsia" w:ascii="黑体" w:hAnsi="宋体" w:eastAsia="黑体" w:cs="黑体"/>
      <w:sz w:val="36"/>
      <w:szCs w:val="24"/>
    </w:rPr>
  </w:style>
  <w:style w:type="character" w:customStyle="1" w:styleId="16">
    <w:name w:val="font71"/>
    <w:basedOn w:val="13"/>
    <w:uiPriority w:val="0"/>
    <w:rPr>
      <w:rFonts w:hint="default" w:ascii="Times New Roman" w:hAnsi="Times New Roman" w:eastAsia="楷体_GB2312" w:cs="Times New Roman"/>
      <w:sz w:val="28"/>
      <w:szCs w:val="24"/>
    </w:rPr>
  </w:style>
  <w:style w:type="character" w:customStyle="1" w:styleId="17">
    <w:name w:val="font61"/>
    <w:basedOn w:val="13"/>
    <w:uiPriority w:val="0"/>
    <w:rPr>
      <w:rFonts w:hint="default" w:ascii="Times New Roman" w:hAnsi="Times New Roman" w:eastAsia="楷体_GB2312" w:cs="Times New Roman"/>
      <w:sz w:val="32"/>
      <w:szCs w:val="24"/>
    </w:rPr>
  </w:style>
  <w:style w:type="character" w:customStyle="1" w:styleId="18">
    <w:name w:val="页眉 Char"/>
    <w:basedOn w:val="13"/>
    <w:link w:val="9"/>
    <w:locked/>
    <w:uiPriority w:val="0"/>
    <w:rPr>
      <w:rFonts w:hint="default" w:ascii="Times New Roman" w:hAnsi="Times New Roman" w:eastAsia="宋体" w:cs="Times New Roman"/>
      <w:sz w:val="18"/>
      <w:szCs w:val="18"/>
    </w:rPr>
  </w:style>
  <w:style w:type="character" w:customStyle="1" w:styleId="19">
    <w:name w:val="hps"/>
    <w:basedOn w:val="13"/>
    <w:uiPriority w:val="0"/>
  </w:style>
  <w:style w:type="character" w:customStyle="1" w:styleId="20">
    <w:name w:val="font21"/>
    <w:basedOn w:val="13"/>
    <w:uiPriority w:val="0"/>
    <w:rPr>
      <w:rFonts w:hint="default" w:ascii="Times New Roman" w:hAnsi="Times New Roman" w:eastAsia="楷体_GB2312" w:cs="Times New Roman"/>
      <w:sz w:val="30"/>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45392.4687500016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2024-04-10T11:36:00Z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6924C09B6E0644B920091666B5D14C80</vt:lpwstr>
  </property>
</Properties>
</file>