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12152500MB1H152772</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4"/>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乌拉盖管理区党员教育中心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4"/>
                <w:b/>
                <w:bCs/>
                <w:sz w:val="36"/>
                <w:szCs w:val="24"/>
                <w:bdr w:val="none" w:color="auto" w:sz="0" w:space="0"/>
              </w:rPr>
              <w:t>法</w:t>
            </w:r>
            <w:r>
              <w:rPr>
                <w:rStyle w:val="14"/>
                <w:b/>
                <w:bCs/>
                <w:spacing w:val="30"/>
                <w:sz w:val="36"/>
                <w:szCs w:val="24"/>
                <w:bdr w:val="none" w:color="auto" w:sz="0" w:space="0"/>
              </w:rPr>
              <w:t>定代表</w:t>
            </w:r>
            <w:r>
              <w:rPr>
                <w:rStyle w:val="14"/>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乌拉盖管理区党员教育中心（乌拉盖管理区老干部活动中心）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为管理区党员教育和离退休干部提供服务。运用信息化手段对管理区党员开展远程教育、党员教育蒙汉双语教学资源开发管理、管理区本级党员教育资源库维护管理、党员干部现代远程教育骨干队伍培训，为管理区离退休干部学习教育、文体活动、老年大学教学服务，向管理区党工委组织部党员教育资源库提供相关教学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锡林郭勒盟巴音胡硕镇东风大街1号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张勇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35</w:t>
            </w:r>
            <w:r>
              <w:rPr>
                <w:rStyle w:val="15"/>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5"/>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5"/>
                <w:rFonts w:hint="eastAsia" w:ascii="楷体_GB2312" w:eastAsia="楷体_GB2312" w:cs="楷体_GB2312"/>
                <w:sz w:val="28"/>
                <w:szCs w:val="28"/>
                <w:bdr w:val="none" w:color="auto" w:sz="0" w:space="0"/>
                <w:lang w:val="en-US"/>
              </w:rPr>
              <w:t>中共乌拉盖管理区工作委员会组织部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1.7981</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5"/>
                <w:sz w:val="32"/>
                <w:szCs w:val="32"/>
                <w:bdr w:val="none" w:color="auto" w:sz="0" w:space="0"/>
                <w:lang w:val="en-US"/>
              </w:rPr>
              <w:t>1.4736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乌拉盖管理区党员教育中心.公益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2023年度我单位认真执行《事业单位登记管理暂行条例》和《事业单位登记管理暂行条例实施细则》，根据有关法律、法规和政策，严格按照核准登记的宗旨和业务范围开展活动。本年度无变更登记。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5"/>
                <w:rFonts w:hint="eastAsia" w:ascii="楷体_GB2312" w:eastAsia="楷体_GB2312" w:cs="楷体_GB2312"/>
                <w:sz w:val="28"/>
                <w:szCs w:val="24"/>
                <w:bdr w:val="none" w:color="auto" w:sz="0" w:space="0"/>
                <w:lang w:val="en-US"/>
              </w:rPr>
              <w:t xml:space="preserve">根据《事业单位登记管理暂行条例》及其实施细则和国家有关法律法规，现将2023年度乌拉盖管理区党员教育中心（老干部活动中心）开展业务活动有关情况报告如下： 一、党员教育工作 （一）工作开展情况 1.构建阵地，悉心打造现场观摩示范点。进一步完善新型党建工作平台构建工作，有序推进“互联网+党建”的创新发展新模式全覆盖，完善“一库一端一微一台账”于一体的“乌拉盖智慧党建工作平台”，走出一条符合管理区地区特色的基层党建之路。积极打造党员教育示范基地，下拨站点设备更新维护维修、打造示范站点费用4万元。进一步探索红色教育平台建设，红色教育基地建设项目已竣工，廉政警示教育基地的完善工作已完成，现已成为面向各党员干部开展反贪倡廉教育的重要阵地。 2.强化培训，持续提高党员干部素质。党员教育培训工作中，重视党的基本知识和基本理论的培训，重视时事政策和重大会议精神的学习培训，结合实际重视业务培训，将党员教育培训融入党建活动之中，以开展深入扎实的党建系列活动来不断丰富党员教育内容。如通过理论学习中心组、“三会一课”、集中轮训、专题培训、固定党日“+”、融合党建活动等方式，组织全体党员开展集中学习，促使广大党员以更大的热情投身工作，为党员教育培训拓宽了新的空间，更好地激发了基层党组织和党员活力。年内，开展“学习贯彻党的二十大精神专题轮训班”“‘耕耘者振兴计划’乡村治理干部培训班”“学习贯彻党的二十大精神暨抓党建促乡村振兴主题培训班”等培训班30余期，培训党员3000余人次。 3.重视挖掘，提供优质电化教育资源。以“党课开课啦”“学习身边榜样”活动为契机，管理区将党员教育片制作纳入党员教育全年计划，结合“北疆党课进行时”活动，结合管理区实际，精心选题，制作报送《人才赋能兴产业 科技创兴育好牛》《凝心聚力正当时 踔厉奋发谱新篇》2期宣传片，以及《我的入党故事》2期，《乌拉盖管理区“感党恩、听党话、跟党走”微视频》2期微视频，在全盟第二届党员教育电视片观摩评比活动中获得优秀奖。在组织部微信公众号开设“学习身边榜样”“入党小故事”等专栏，积极向党员教育站点推送身边好人好事，为基层党员干部提供了更多的优质学习资源。 二、拓展渠道，实现“云端”课堂便捷日常教育。加强对主办主管的党建网站和微信公众号的管理维护，选派专人负责定期更新上网内容，制信息发布审批表，推行信息编辑人、办事负责人、领导签字“三审”制度，严格对上网资料进行审核把关。合理安排页面设计，将学习贯彻习近平新时代中国特色社会主义思想和关于习近平总书记的报道放在网络平台首页首屏首条，在组织部微信公众号开设“学思想 强党性 重实践 建新功”“主题教育”“言论”等学习专栏，宣传党的法律法规、党史党规、典型做法等，充分利用远程教育网络优势，组织党员干部进行系列专题学习，在微信公众号展播7期党员教育宣传片，“线上”教育效果不断增强。同时，通过共产党员网、学习强国、北疆先锋网、党建网等网络平台等现代科技手段加快教育节奏，用好用活各种现代信息技术，引导广大党员自学，开阔新视野，形成善学、乐学、好学的浓厚学习氛围。 （二）存在问题 在农村牧区，仍面临着一系列挑战。尤其是在农忙牧忙时期，集中学习培训变得困难。 （三）下一步工作思路 一是组织开展各类党课活动。组织嘎查村（分场、社区）和党员中心户，通过支部书记讲党课、集中学习、观看视频等形式，组织农村牧区党员学习身边榜样，将党的政策和声音传递到农牧民身边。 二是抓好党员教育专栏建设。持续维护更新组织部微信公众号专栏，及时推送学习内容，刊登基层党组织书记党课和“学习身边榜样”先进事迹等，创新党员教育方式。 三是强化典型宣传。对杰出事迹进行宣传推广，创作2-3部党员教育优质专题片。 二、老干部活动中心工作 （一）工作开展情况 一是关心关爱服务老干部。组织离退休干部开展“学思践悟新思想，银发人才增活力”的主题党日活动，参与学习贯彻习近平新时代中国特色社会主义思想的教育培训，以提升党组织的凝聚力。举办“精准服务、助力健康”义诊活动，举办“讲政策、解疑惑、暖人心”医保政策解读座谈会，举行“感党恩、听党话、跟党走”的庆祝建党102周年“七个一”活动，在中秋国庆节假日期间提供健康体检、送学上门、红歌合唱等活动，以及重阳节、元旦前的扑克比赛，丰富离退休干部的晚年生活，增进老干部与工作人员间的友谊与情感。 二是发挥离退休干部作用。开展“话传统、谈复兴、聚力量”座谈会，组织离退休干部收看全国离退休干部网上专题报告会。开展“学思想 听民意 送健康”主题党日活动，以学铸魂、以学增智、以学正风、以学促干，永葆离退休干部政治基础，为管理区各项事业发展建言献策，在服务群众、奉献社会中再建新功。为推动学习贯彻习近平新时代中国特色社会主义思想走深走实，积极组织老同志参加“北疆银龄先锋杯”习平新时代中国特色社会主义思想主题教育知识答题活动，特别印发了大字版的知识答题试卷，调动老同志学习的自觉性主动性，提升理论武装和政治素养。 三是实施精准服务保障。联合老年体协开办老年大学，开设了音乐班和书法班，共有退休老干部、老同志等140余名学员，聘请5名专业教师免费授课，培养更多兴趣爱好。12月底老年大学书法班举行结课仪式，为3名优秀学员颁发了荣誉证书，为秋季书法班划上了圆满的句号。开展“银发心向党 唱响新时代”老年大学音乐班、“感党恩 听党话 跟党走”庆七一汇报演出活动，充分展现了老年朋友多姿多彩的校园生活和昂扬向上的精神风貌，深切表达了大家对新中国成立102周年辉煌成就的喜悦和自豪之情，对祖国的热爱之情和深深祝福。组织老干部参与扑克比赛，不仅可以丰富他们的退休生活，还能锻炼思维、增进友谊，丰富离退休干部的文化生活，用心用情用力做好离退休干部的服务和关爱工作。 （二）存在问题。随着老干部年龄比较偏大，开展集中学习、举办活动的参与率较低。 （三）下一步工作思路 一是加强组织领导。坚持不懈加强政治理论、形势政策和纪律规矩教育，组织离退休干部深入学习党的二十大精神和习近平总书记关于做好老干部工作的重要指示精神，不断提高离退休干部政治判断力、政治领悟力、政治执行力。 二是做好老干部活动中心工作。抓好老干部活动中心使用和维护工作，坚持从老干部的身体状况出发，从老干部实际需求出发，以安全、快乐为第一原则，开展系列文体活动，竭力为离退休干部及广大中老年人营造温馨舒适、宜养宜学的环境，让广大离退休干部及老年群体有实实在在的获得感、幸福感、满意感。 三是深入推进老年大学教育事业。深入推进老年大学教育事业。持续举办书法、音乐等各类课程，不断完善“线上与线下、长期与短期、课堂与游学”相结合的高品质、多元化课程体系。整合各类资源，实现资源互通、优势互补，逐步构建以老年大学为核心、社区教学点为基础的老年教育办学新模式。悉心策划丰富多样的课程，提高学习的吸引力。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刘叶</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15148504924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2024年03月20日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DD3F7B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9"/>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51"/>
    <w:basedOn w:val="13"/>
    <w:uiPriority w:val="0"/>
    <w:rPr>
      <w:rFonts w:hint="eastAsia" w:ascii="黑体" w:hAnsi="宋体" w:eastAsia="黑体" w:cs="黑体"/>
      <w:sz w:val="36"/>
      <w:szCs w:val="24"/>
    </w:rPr>
  </w:style>
  <w:style w:type="character" w:customStyle="1" w:styleId="15">
    <w:name w:val="font71"/>
    <w:basedOn w:val="13"/>
    <w:uiPriority w:val="0"/>
    <w:rPr>
      <w:rFonts w:hint="default" w:ascii="Times New Roman" w:hAnsi="Times New Roman" w:eastAsia="楷体_GB2312" w:cs="Times New Roman"/>
      <w:sz w:val="28"/>
      <w:szCs w:val="24"/>
    </w:rPr>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hps"/>
    <w:basedOn w:val="13"/>
    <w:uiPriority w:val="0"/>
  </w:style>
  <w:style w:type="character" w:customStyle="1" w:styleId="19">
    <w:name w:val="页脚 Char"/>
    <w:basedOn w:val="13"/>
    <w:link w:val="8"/>
    <w:locked/>
    <w:uiPriority w:val="0"/>
    <w:rPr>
      <w:rFonts w:hint="default" w:ascii="Times New Roman" w:hAnsi="Times New Roman" w:eastAsia="宋体" w:cs="Times New Roman"/>
      <w:sz w:val="18"/>
      <w:szCs w:val="18"/>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2024-04-10T11:36:26Z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84F77C41DDC9822A3A091666C4E43E99</vt:lpwstr>
  </property>
</Properties>
</file>