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4"/>
          <w:b/>
          <w:bCs/>
          <w:sz w:val="30"/>
          <w:szCs w:val="30"/>
          <w:lang w:val="en-US"/>
        </w:rPr>
        <w:t>12152500MB1H15760P</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4"/>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7"/>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20"/>
                <w:rFonts w:hint="eastAsia" w:ascii="楷体_GB2312" w:eastAsia="楷体_GB2312" w:cs="楷体_GB2312"/>
                <w:sz w:val="32"/>
                <w:szCs w:val="24"/>
                <w:bdr w:val="none" w:color="auto" w:sz="0" w:space="0"/>
                <w:lang w:val="en-US"/>
              </w:rPr>
              <w:t>乌拉盖管理区新时代文明实践服务中心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7"/>
                <w:b/>
                <w:bCs/>
                <w:sz w:val="36"/>
                <w:szCs w:val="24"/>
                <w:bdr w:val="none" w:color="auto" w:sz="0" w:space="0"/>
              </w:rPr>
              <w:t>法</w:t>
            </w:r>
            <w:r>
              <w:rPr>
                <w:rStyle w:val="17"/>
                <w:b/>
                <w:bCs/>
                <w:spacing w:val="30"/>
                <w:sz w:val="36"/>
                <w:szCs w:val="24"/>
                <w:bdr w:val="none" w:color="auto" w:sz="0" w:space="0"/>
              </w:rPr>
              <w:t>定代表</w:t>
            </w:r>
            <w:r>
              <w:rPr>
                <w:rStyle w:val="17"/>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乌拉盖管理区新时代文明实践服务中心（乌拉盖管理区网络安全应急指挥中心）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为乌拉盖管理区新时代文明实践、网络安全和信息化建设提供服务。基层新时代文明实践服务业务指导、协调社会组织和管理区志愿者团体广泛参与新时代文明实践服务、理论宣传和形势政策教育、公益电影放映和技术培训、网络意识形态领域舆情监看、网上政治有害信息处置、网络舆情分析研判受理和引导、互联网违法和不良信息举报、网络谣言治理、网络安全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乌拉盖管理区巴音胡硕镇巴音胡硕大街53号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康海军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5</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中共乌拉盖管理区工作委员会宣传部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sz w:val="32"/>
                <w:szCs w:val="24"/>
                <w:bdr w:val="none" w:color="auto" w:sz="0" w:space="0"/>
                <w:lang w:val="en-US"/>
              </w:rPr>
              <w:t>17.3698</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17.3698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无</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20"/>
                <w:sz w:val="32"/>
                <w:szCs w:val="24"/>
                <w:bdr w:val="none" w:color="auto" w:sz="0" w:space="0"/>
                <w:lang w:val="en-US"/>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 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 xml:space="preserve">（1）执行本单位章程的情况 认真执行本单位章程，以章程为基石，不断推进中心建设。工作开展以来，我中心坚持以习近平新时代中国特色社会主义思想特别是习近平总书记关于网络强国的重要思想为指导，聚焦内蒙古五大任务，加强网络内容建设管理，塑造主流舆论格局，强化网络安全保障，提高数字化服务水平，营造清朗网络空间；聚焦新时代文明实践“五大任务”，培育和践行社会主义核心价值观，较好的完成了全年各项工作。 （2）业务活动情况 --网络安全应急指挥中心工作：一是筑牢网络意识形态思想防线。党工委、宣传部及网信办从不同层面分别专题研究部署网信工作12次，年内举办网信各类专题培训4期；订购、编印《习近平总书记关于网络强国的重要思想概论》“互联网法律法规”等学习材料2000 余册。圆满完成全国、自治区两会等重要时期网络安全保障、舆情应对处置、网络舆论引导、网络管理等工作。今年以来，我地未发生重大网络安全、网络舆情事件及重大不规范和错误性表述。二是强化网络安全风险防范化解。组织管理区各单位，联合公安网安和聘请检测技术分别开展了网络安全自查、检查和检测。加强网络安全预警，及时处置网络安全风险事件8次，完成率100%。开展了“数字广播系统网络安全风险隐患排查”等网络安全专项行动3次。积极推进网络安全等级保护，目前已有5家单位取得等保证书，其余3家正扎实推进。三是加强正面宣传引导。组织政务新媒体平台开设“学习宣传贯彻党的二十大精神”铸牢中华民族共同体意识”“主题教育微宣讲”等专栏，转载、转发相关信息 3万余条次。管理区选送的《传承红色文化精神 奏响“红绿相映”乐章》《以网为媒架起助困之桥》荣获全盟优秀网络作品二等奖和优秀网络公益案例。四是加大网络综合治理。持续做好政务新媒体、网站，自媒体账号、网络名人动态数据库建设，清理关停“僵尸账号”20个，纠正不规范和错误表述16条。进一步完善管理区互联网违法和不良信息举报平台，加强“网络大咖”联络和引导，组织管理区网络名人参与#网络名人赞两会#话题评论、全盟“百位网红进草原”宣传交流活动。五是推进网络文明。开展文明过新春 幸福晒年味”随手拍征集活动；积极参加全国正能量“五个一百”、全区廉洁文化、生态文明建设、网络普法新媒体产品征集活动，报送作品 100余幅。先后以“共享网络文明 清朗网络环境”“维护民族团结 倡导网络文明”“网络诚信伴我行 携手共创网络文明”“拒绝网络谣言 清朗网络空间”为主题开展网络文明进社区、进校园、进机关等网络文明志愿服务活动 5 次。按照“网信办主任“四个一”关爱党员“五个一”要求，利用管理区互联网非公企业联合党支部党建活动阵地，组织党员开展集中学习和党建活动，今年，管理区互联网非公企业联合党支部荣获了全盟“坚强堡垒党支部”荣誉称号。六是推动信息化发展。统筹工信局、发改局等相关部门推进数字乡村建设、网信军民融合、IPv6规模部署等信息化相关工作。开展“全民数字素养与技能提升月”系列活动。 --新时代文明实践服务中心工作：一是夯实阵地队伍建设。建成文明实践中心所站28个，社会组织志愿服务队新增至13支，在8支常备服务队基础上，新增应急救援志愿服务队；先后与教育局、巴镇社区卫生中心等6个单位结对共建。二是营造主题宣传宣讲氛围。开展“党的二十大精神”等理论宣讲活动296场次、发布文明实践广播27期，开展《内蒙古自治区志愿服务条例》有奖答题活动；制作公益宣传广告24幅；开设“文明实践在行动”专栏，发布信息81篇；发放新时代文明实践志愿服务“明白卡”“联系卡”1000余份。三是丰富服务活动内涵。围绕“两节”“学雷锋日”等重要时间节点，开展“我在新时代文明实践中心（所、站）迎新年”“传承雷锋精神 凝聚志愿力量”“ 习语金句大家写”等主题活动413次。聚焦群众“急难愁盼”，针对“一老一小”、残疾、困难等特殊群体，开展农牧帮工、代办代购、交通保障、安全出行等志愿服务活动136次。四是持续推动移风易俗。召开2023年度乡风文明建设推进会暨新时代文明实践志愿服务项目培训会；制定《乡村治理积分制管理实施方案》，推动乡村治理“积分制”全覆盖；开展“移风易俗倡文明 文明实践树新风”等主题实践活动71次，建设嘎查村、分场“文化墙”69处。五是活跃群众文化生活。以“我们的中国梦 文化进万家”“感党恩 听党话 跟党走”“银发心向党 唱响新时代”等为主题，开展各类文艺演出和群众性文化艺术节、健身趣味运动会67场次；放映公益电影年度113场次，观影人数5000余人次。六是加强队伍交流培训。召开学雷锋纪念日座谈会及2023年新时代文明实践工作部署暨疫情防控优秀志愿服务组织、志愿者表彰会；对直属部门、乡村干部和志愿服务团体分别进行培训；举办文明实践成果观摩交流活动，并承接二连等旗县来我地学习交流；举办管理区首届新时代文明实践项目大赛；报送的2个志愿服务项目，分别获得盟级和自治区级奖项。组织参加全盟第三届社科知识领读人评选，获得一等奖等奖项。七是健全长效常态工作机制。印发《乌拉盖管理区2023年度重点任务清单》并实行“志愿服务活动一月一清单、一月一调度、一月一通报”工作机制；制定了《乌拉盖管理区志愿服务激励嘉许办法（试行）》，推动志愿服务制度化、社会化、专业化；完成管理区文明实践中心、所、站前三季度团结文明超市积分兑换103次。 （3）取得的社会效益 一是打造新时代文明实践“一镇一品”、各具特色的志愿服务品牌，如哈拉盖图农牧场传红守绿、贺斯格乌拉牧场“宝格达乌拉”志愿服务、乌拉盖牧场农牧民互助服务，巴音胡硕镇便民志愿服务等服务项目，不断赋予志愿服务新内涵，创新服务模范，拓展服务领域，提升服务群众的质量和水平。二是全年共监测处置网络舆情15起，通过“乌拉盖网络安全风险预警通报信息群”，累计向管理区各单位发布网络安全预警信息9条，着力构建网络综合治理体系，防范化解网络意识形态风险。 （4）存在的问题及改进措施和下一步工作思路 存在的问题：一是群众对什么是志愿服务，怎样参与志愿服务认识还不到位，志愿服务的整体氛围还没有形成。二是志愿服务的针对性不强。目前活动多以盟级和新时代文明实践中心倡导推动为主，镇场、嘎查村自主策划开展较少，与群众需求结合方面还有所欠缺。三是各单位网络舆情信息员、网络安全员等队伍建设有待加强，人员不稳定，力量不足，作用发挥不明显。 改进措施：对各单位网络舆情信息员、网络安全员重新摸底，选优配强各支队伍，更新完善各类人员动态管理数据库建设。举办网评员舆情、网络网络安全培训班，进一步提高网络舆情的引导处置水平及网络安全防护应急能力。 下一步工作思路：一是充分发挥文明委统筹协调联动优势。建立新时代文明实践中心主任联席会议制度和党政领导班子挂点联系新时代文明实践所（站）制度，协调解决工作推进过程中存在的困难和问题。二是推进新时代文明实践工作往实里走。完善“中心吹哨、部门站队、各方参与”工作机制，做好示范性所（站）建设，深化志愿服务，推动文明实践与人居环境整治、乡村振兴等工作有机结合，形成管理区、村镇、嘎村（社区）三级贯通，中心、所、站密切联动的工作格局。三是扎实做好常态化网络舆情管控工作，强化互联网应急响应值班，加强对敏感性苗头性信息的预警、监测、收集工作力度，做好网络舆情分析研判和上报处置工作。统筹推进网络安全应急指挥中心规范化建设，构建网络综合治理体系，着力防范化解网络意识形态风险。四是持续开展网上“扫黄打非”、净化网络舆论环境、网络谣言及政治类有害信息整治等专项行动；联合相关部门打击处置互联网违法和不良信息。五是持续开展属地关键信息基础设施网络安全自查、检查和检测，强化网络安全领域专项治理，抓好相关单位网络安全整改落实工作。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20"/>
          <w:rFonts w:hint="eastAsia" w:ascii="楷体_GB2312" w:eastAsia="楷体_GB2312" w:cs="楷体_GB2312"/>
          <w:sz w:val="28"/>
          <w:szCs w:val="28"/>
          <w:lang w:val="en-US"/>
        </w:rPr>
        <w:t>包赫鑫</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20"/>
          <w:rFonts w:hint="eastAsia" w:ascii="楷体_GB2312" w:eastAsia="楷体_GB2312" w:cs="楷体_GB2312"/>
          <w:sz w:val="28"/>
          <w:szCs w:val="28"/>
          <w:lang w:val="en-US"/>
        </w:rPr>
        <w:t xml:space="preserve">18847973926  </w:t>
      </w:r>
      <w:r>
        <w:rPr>
          <w:rFonts w:hint="eastAsia" w:ascii="楷体_GB2312" w:eastAsia="楷体_GB2312" w:cs="楷体_GB2312"/>
          <w:b/>
          <w:bCs/>
          <w:sz w:val="28"/>
          <w:szCs w:val="28"/>
          <w:lang w:eastAsia="zh-CN"/>
        </w:rPr>
        <w:t>报送日期：</w:t>
      </w:r>
      <w:r>
        <w:rPr>
          <w:rStyle w:val="20"/>
          <w:rFonts w:hint="eastAsia" w:ascii="楷体_GB2312" w:eastAsia="楷体_GB2312" w:cs="楷体_GB2312"/>
          <w:b/>
          <w:bCs/>
          <w:sz w:val="28"/>
          <w:szCs w:val="28"/>
          <w:lang w:val="en-US"/>
        </w:rPr>
        <w:t>2024年02月28日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DDFFF6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21"/>
    <w:basedOn w:val="13"/>
    <w:uiPriority w:val="0"/>
    <w:rPr>
      <w:rFonts w:hint="default" w:ascii="Times New Roman" w:hAnsi="Times New Roman" w:eastAsia="楷体_GB2312" w:cs="Times New Roman"/>
      <w:sz w:val="30"/>
      <w:szCs w:val="24"/>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hps"/>
    <w:basedOn w:val="13"/>
    <w:uiPriority w:val="0"/>
  </w:style>
  <w:style w:type="character" w:customStyle="1" w:styleId="17">
    <w:name w:val="font51"/>
    <w:basedOn w:val="13"/>
    <w:uiPriority w:val="0"/>
    <w:rPr>
      <w:rFonts w:hint="eastAsia" w:ascii="黑体" w:hAnsi="宋体" w:eastAsia="黑体" w:cs="黑体"/>
      <w:sz w:val="36"/>
      <w:szCs w:val="24"/>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font61"/>
    <w:basedOn w:val="13"/>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2024-04-10T11:37:11Z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1115BC3506D75ED6670916665A5A457B</vt:lpwstr>
  </property>
</Properties>
</file>