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12152500MB1H15648Q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锡林郭勒盟能源局综合保障中心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锡林郭勒盟能源局综合保障中心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盟能源局提供综合保障服务。全盟能源领域企业从业人员相关考试、培训，能源领域先进技术、装备、工艺的推广应用、咨询、交流，能源领域数据统计、分析、监测和相关政策研究、重点课题研究，机关事务性、辅助性、保障性及政策宣传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锡林浩特市锡林大街西段华润大厦6楼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孙志文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.1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.0014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.0036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锡林郭勒盟能源局综合保障中心.公益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sz w:val="32"/>
                <w:szCs w:val="24"/>
                <w:bdr w:val="none" w:color="auto" w:sz="0" w:space="0"/>
                <w:lang w:val="en-US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2023年，我单位严格遵守国家有关法律法规和《事业单位登记管理暂行条例》及其实施细则的规定，按照宗旨和业务范围开展相关活动，没有涉及变更登记的事项，没有违法违规等情况。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2023年，保障中心着力提高政务服务工作质量，让审批流程更简、效率更高、服务更优，持续深化“放管服”改革，以高效能政务服务助推能源行业高质量发展： 一、深化“放管服”改革，做好政务服务工作。 我们主动对标营商环境评价指标、对标企业需求，和各科室共同对所有政务服务事项审批流程、办理要件、办理时限等进行梳理优化。盟能源局37个政务服务事项全部实现全程网办，各项指标均达到了自治区政务服务事项标准化、规范化、便利化要求。 完成了“内蒙古互联网+监管”平台监管事项的认领、编制、发布及动态调整工作，政务服务数据共享目录、认领、编报工作。 二、优化营商环境，提升能源服务水平。 保障中心紧紧围绕优化营商环境，提升能源服务水平，精准发力，全面服务，推动工作落实落地。 （一）高度重视，压实责任。 我们通过认真研读有关文件政策，积极主动认领工作职责，上下层层压实工作职责，自上而下树立主动为民服务意识。加大政策宣贯力度，保障企业权益，营造清政亲商的良好氛围。 （二）助企帮企，全面服务。 深入实施能源服务帮办代办助企服务，按照让网络多跑路，企业少跑路的理念，梳理精简政务服务事项资料及手续，持续优化项目审批流程，压缩办理时限。与此同时，从准备申请资料到上传、办结，实行全面无缝指导帮助企业，真正做到一次办，快速办。 （三）依托平台，一网通办。 依托投资项目在线审批平台及政务服务一体化平台，所有审批、备案事项均可以通过平台办理，政务服务事项“一网通办”，方便了企业办事。 三、下一步工作。 坚决落实中央、自治区和盟委行署关于深化“放管服”改革要求，主动优化服务，最大限度简政放权，多措并举完善监管。 一是继续推进简政放权。坚持“能放则放、应放尽放”的原则，根据法律法规和上级政策要求，对现有审批进行再清理，协助审批实施科室做好事中事后监管工作。 二是简化规范审批流程。在符合行业法律法规的前提下，进一步规范、简化审批办理的环节和手续，提高办事效率，最大程度减少对市场的干预，激发经济社会发展活力。 三是提升政务服务标准。积极做好系列清单的完善和公布工作，并结合上级要求，推进“互联网+政务服务”，真正实现“一窗受理、一次办结”，让信息多跑路，让群众少跑腿。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>张超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4"/>
          <w:rFonts w:hint="eastAsia" w:ascii="楷体_GB2312" w:eastAsia="楷体_GB2312" w:cs="楷体_GB2312"/>
          <w:sz w:val="28"/>
          <w:szCs w:val="28"/>
          <w:lang w:val="en-US"/>
        </w:rPr>
        <w:t xml:space="preserve">18247908893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4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9B54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2024-04-10T11:37:17Z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A4B06E47696035996D091666BC3D7350</vt:lpwstr>
  </property>
</Properties>
</file>